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9E" w:rsidRDefault="0053432A" w:rsidP="00100E9E">
      <w:pPr>
        <w:tabs>
          <w:tab w:val="left" w:pos="5812"/>
        </w:tabs>
        <w:ind w:left="5812"/>
      </w:pPr>
      <w:r>
        <w:t>П</w:t>
      </w:r>
      <w:r w:rsidR="00100E9E">
        <w:t xml:space="preserve">риложение к постановлению </w:t>
      </w:r>
    </w:p>
    <w:p w:rsidR="00100E9E" w:rsidRDefault="00100E9E" w:rsidP="00100E9E">
      <w:pPr>
        <w:tabs>
          <w:tab w:val="left" w:pos="5812"/>
        </w:tabs>
        <w:ind w:left="5812"/>
      </w:pPr>
      <w:r>
        <w:t>администрации города Липецка</w:t>
      </w:r>
    </w:p>
    <w:p w:rsidR="00100E9E" w:rsidRDefault="00100E9E" w:rsidP="00100E9E">
      <w:pPr>
        <w:tabs>
          <w:tab w:val="left" w:pos="5812"/>
        </w:tabs>
        <w:ind w:left="5812"/>
      </w:pPr>
      <w:r>
        <w:t>от _____________№__________</w:t>
      </w:r>
    </w:p>
    <w:p w:rsidR="00100E9E" w:rsidRDefault="00100E9E" w:rsidP="00100E9E">
      <w:pPr>
        <w:jc w:val="center"/>
      </w:pPr>
    </w:p>
    <w:p w:rsidR="00100E9E" w:rsidRDefault="00100E9E" w:rsidP="00100E9E">
      <w:pPr>
        <w:jc w:val="center"/>
      </w:pPr>
    </w:p>
    <w:p w:rsidR="00100E9E" w:rsidRDefault="00100E9E" w:rsidP="00100E9E">
      <w:pPr>
        <w:jc w:val="center"/>
      </w:pPr>
    </w:p>
    <w:p w:rsidR="00244381" w:rsidRDefault="00100E9E" w:rsidP="00100E9E">
      <w:pPr>
        <w:jc w:val="center"/>
      </w:pPr>
      <w:r>
        <w:t>ПРОГНОЗ</w:t>
      </w:r>
    </w:p>
    <w:p w:rsidR="00100E9E" w:rsidRDefault="00100E9E" w:rsidP="00100E9E">
      <w:pPr>
        <w:jc w:val="center"/>
      </w:pPr>
      <w:r>
        <w:t>социально-экономического развития</w:t>
      </w:r>
    </w:p>
    <w:p w:rsidR="00100E9E" w:rsidRDefault="00100E9E" w:rsidP="00100E9E">
      <w:pPr>
        <w:jc w:val="center"/>
      </w:pPr>
      <w:r>
        <w:t>города Липецка на долгосрочный период до 2027 года</w:t>
      </w:r>
    </w:p>
    <w:p w:rsidR="00100E9E" w:rsidRPr="00A4024D" w:rsidRDefault="00100E9E" w:rsidP="00244381"/>
    <w:p w:rsidR="00E37468" w:rsidRPr="00A4024D" w:rsidRDefault="00E37468" w:rsidP="00E37468">
      <w:pPr>
        <w:ind w:firstLine="709"/>
        <w:jc w:val="both"/>
        <w:outlineLvl w:val="0"/>
      </w:pPr>
      <w:r w:rsidRPr="00A4024D">
        <w:t xml:space="preserve">Прогноз социально-экономического развития города Липецка на </w:t>
      </w:r>
      <w:r w:rsidRPr="00A4024D">
        <w:rPr>
          <w:szCs w:val="28"/>
        </w:rPr>
        <w:t>долгосрочный</w:t>
      </w:r>
      <w:r w:rsidRPr="00A4024D">
        <w:t xml:space="preserve"> период  до 202</w:t>
      </w:r>
      <w:r w:rsidR="0033371C" w:rsidRPr="00A4024D">
        <w:t>7</w:t>
      </w:r>
      <w:r w:rsidRPr="00A4024D">
        <w:t xml:space="preserve"> года (далее – долгосрочный прогноз) разработан в соответствии с Порядком разработки и корректировки Прогноза социально-экономического развития города Липецка на долгосрочный период, утвержденным постановлением администрации города Липецка от 13.02.2017           № 163.</w:t>
      </w:r>
    </w:p>
    <w:p w:rsidR="00E37468" w:rsidRPr="00A4024D" w:rsidRDefault="006539FC" w:rsidP="00E37468">
      <w:pPr>
        <w:tabs>
          <w:tab w:val="left" w:pos="709"/>
        </w:tabs>
        <w:ind w:firstLine="709"/>
        <w:jc w:val="both"/>
        <w:outlineLvl w:val="0"/>
      </w:pPr>
      <w:r w:rsidRPr="00A4024D">
        <w:t xml:space="preserve">Исходной базой для разработки среднесрочного прогноза являются </w:t>
      </w:r>
      <w:r w:rsidRPr="00A4024D">
        <w:rPr>
          <w:bCs/>
        </w:rPr>
        <w:t>указы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</w:t>
      </w:r>
      <w:r w:rsidRPr="00A4024D">
        <w:t xml:space="preserve">; </w:t>
      </w:r>
      <w:proofErr w:type="gramStart"/>
      <w:r w:rsidRPr="00A4024D">
        <w:t xml:space="preserve">основные показатели и параметры прогноза социально-экономического развития Российской Федерации и Липецкой области на 2022 год и на плановый период 2023 и 2024 годов; </w:t>
      </w:r>
      <w:r w:rsidR="00E37468" w:rsidRPr="00A4024D">
        <w:rPr>
          <w:szCs w:val="28"/>
        </w:rPr>
        <w:t xml:space="preserve">основные показатели и параметры долгосрочного </w:t>
      </w:r>
      <w:r w:rsidR="00E37468" w:rsidRPr="00A4024D">
        <w:t>прогноза социально-экономического развития Российской Федерации и Липецкой области на период до 203</w:t>
      </w:r>
      <w:r w:rsidRPr="00A4024D">
        <w:t>6</w:t>
      </w:r>
      <w:r w:rsidR="00E37468" w:rsidRPr="00A4024D">
        <w:t xml:space="preserve"> года; </w:t>
      </w:r>
      <w:r w:rsidRPr="00A4024D">
        <w:t>данные территориального органа Федеральной службы государственной статистики по Липецкой области за 2020 год, январь-июнь 2021 года;</w:t>
      </w:r>
      <w:proofErr w:type="gramEnd"/>
      <w:r w:rsidRPr="00A4024D">
        <w:t xml:space="preserve"> Стратегия социально-экономического развития города Липецка до 2035 года.</w:t>
      </w:r>
    </w:p>
    <w:p w:rsidR="00E37468" w:rsidRPr="00A4024D" w:rsidRDefault="00E37468" w:rsidP="00E37468">
      <w:pPr>
        <w:tabs>
          <w:tab w:val="left" w:pos="709"/>
        </w:tabs>
        <w:ind w:firstLine="709"/>
        <w:jc w:val="both"/>
        <w:outlineLvl w:val="0"/>
        <w:rPr>
          <w:color w:val="000000"/>
          <w:szCs w:val="28"/>
        </w:rPr>
      </w:pPr>
      <w:r w:rsidRPr="00A4024D">
        <w:t xml:space="preserve">Долгосрочный прогноз базируется на </w:t>
      </w:r>
      <w:r w:rsidRPr="00A4024D">
        <w:rPr>
          <w:szCs w:val="28"/>
        </w:rPr>
        <w:t>сценарных условиях функционирования экономики Российской Федерации на 20</w:t>
      </w:r>
      <w:r w:rsidR="006539FC" w:rsidRPr="00A4024D">
        <w:rPr>
          <w:szCs w:val="28"/>
        </w:rPr>
        <w:t>22</w:t>
      </w:r>
      <w:r w:rsidRPr="00A4024D">
        <w:rPr>
          <w:szCs w:val="28"/>
        </w:rPr>
        <w:t xml:space="preserve"> год и на плановый период 20</w:t>
      </w:r>
      <w:r w:rsidR="006539FC" w:rsidRPr="00A4024D">
        <w:rPr>
          <w:szCs w:val="28"/>
        </w:rPr>
        <w:t>23</w:t>
      </w:r>
      <w:r w:rsidRPr="00A4024D">
        <w:rPr>
          <w:szCs w:val="28"/>
        </w:rPr>
        <w:t xml:space="preserve"> и 202</w:t>
      </w:r>
      <w:r w:rsidR="006539FC" w:rsidRPr="00A4024D">
        <w:rPr>
          <w:szCs w:val="28"/>
        </w:rPr>
        <w:t>4</w:t>
      </w:r>
      <w:r w:rsidRPr="00A4024D">
        <w:rPr>
          <w:szCs w:val="28"/>
        </w:rPr>
        <w:t xml:space="preserve"> годов; </w:t>
      </w:r>
      <w:r w:rsidRPr="00A4024D">
        <w:t>сценарных условиях долгосрочного прогноза социально-экономического развития Российской Федерации до 203</w:t>
      </w:r>
      <w:r w:rsidR="006539FC" w:rsidRPr="00A4024D">
        <w:t>6</w:t>
      </w:r>
      <w:r w:rsidRPr="00A4024D">
        <w:t xml:space="preserve"> года; </w:t>
      </w:r>
      <w:r w:rsidRPr="00A4024D">
        <w:rPr>
          <w:szCs w:val="28"/>
        </w:rPr>
        <w:t xml:space="preserve"> </w:t>
      </w:r>
      <w:bookmarkStart w:id="0" w:name="sub_234"/>
      <w:r w:rsidRPr="00A4024D">
        <w:rPr>
          <w:color w:val="000000"/>
          <w:szCs w:val="28"/>
        </w:rPr>
        <w:t xml:space="preserve"> данных, представленных отраслевыми (функциональными) органами администрации города Липецка; результатах мониторинга финансово-хозяйственной деятельности крупных и средних организаций города Липецка за 20</w:t>
      </w:r>
      <w:r w:rsidR="00220EBF" w:rsidRPr="00A4024D">
        <w:rPr>
          <w:color w:val="000000"/>
          <w:szCs w:val="28"/>
        </w:rPr>
        <w:t>20</w:t>
      </w:r>
      <w:r w:rsidRPr="00A4024D">
        <w:rPr>
          <w:color w:val="000000"/>
          <w:szCs w:val="28"/>
        </w:rPr>
        <w:t xml:space="preserve"> год.</w:t>
      </w:r>
    </w:p>
    <w:p w:rsidR="00E37468" w:rsidRPr="00A4024D" w:rsidRDefault="00E37468" w:rsidP="00E3746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Долгосрочный прогноз отражает развитие экономики города Липецка в двух вариантах: базовом (далее </w:t>
      </w:r>
      <w:r w:rsidR="00220EBF" w:rsidRPr="00A4024D">
        <w:rPr>
          <w:szCs w:val="28"/>
        </w:rPr>
        <w:t>–</w:t>
      </w:r>
      <w:r w:rsidRPr="00A4024D">
        <w:rPr>
          <w:szCs w:val="28"/>
        </w:rPr>
        <w:t xml:space="preserve"> 1 вариант) и консервативном (далее </w:t>
      </w:r>
      <w:r w:rsidR="00220EBF" w:rsidRPr="00A4024D">
        <w:rPr>
          <w:szCs w:val="28"/>
        </w:rPr>
        <w:t xml:space="preserve">– </w:t>
      </w:r>
      <w:r w:rsidRPr="00A4024D">
        <w:rPr>
          <w:szCs w:val="28"/>
        </w:rPr>
        <w:t xml:space="preserve">2 вариант). </w:t>
      </w:r>
    </w:p>
    <w:p w:rsidR="00E37468" w:rsidRPr="00A4024D" w:rsidRDefault="00E37468" w:rsidP="00E3746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1 вариант характеризует основные тенденции и параметры развития города Липецка в условиях прогнозируемого изменения внешних и внутренних факторов при сохранении </w:t>
      </w:r>
      <w:proofErr w:type="gramStart"/>
      <w:r w:rsidRPr="00A4024D">
        <w:rPr>
          <w:szCs w:val="28"/>
        </w:rPr>
        <w:t>тенденций изменения эффективности использования ресурсов</w:t>
      </w:r>
      <w:proofErr w:type="gramEnd"/>
      <w:r w:rsidRPr="00A4024D">
        <w:rPr>
          <w:szCs w:val="28"/>
        </w:rPr>
        <w:t xml:space="preserve">. </w:t>
      </w:r>
    </w:p>
    <w:p w:rsidR="00E37468" w:rsidRPr="00A4024D" w:rsidRDefault="00E37468" w:rsidP="00E3746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2 вариант предполагает сохранение внешних условий на уровне базового варианта, но при этом предполагается смена экономики на инвестиционную модель развития при сдерживании в первые годы прогнозного периода роста </w:t>
      </w:r>
      <w:r w:rsidRPr="00A4024D">
        <w:rPr>
          <w:szCs w:val="28"/>
        </w:rPr>
        <w:lastRenderedPageBreak/>
        <w:t>расходов на потребление и социальных обязательств государства и бизнеса, перераспределение ресурсов компаний в сторону инвестиционных расходов, более быстрое снижение инфляции.</w:t>
      </w:r>
    </w:p>
    <w:bookmarkEnd w:id="0"/>
    <w:p w:rsidR="00E37468" w:rsidRPr="00A4024D" w:rsidRDefault="00E37468" w:rsidP="00E37468">
      <w:pPr>
        <w:ind w:firstLine="709"/>
        <w:jc w:val="both"/>
        <w:rPr>
          <w:rStyle w:val="extended-textfull"/>
        </w:rPr>
      </w:pPr>
      <w:r w:rsidRPr="00A4024D">
        <w:t xml:space="preserve">Оба варианта долгосрочного прогноза предполагают продолжение активной </w:t>
      </w:r>
      <w:r w:rsidRPr="00A4024D">
        <w:rPr>
          <w:szCs w:val="28"/>
        </w:rPr>
        <w:t xml:space="preserve">реализации </w:t>
      </w:r>
      <w:r w:rsidRPr="00A4024D">
        <w:rPr>
          <w:bCs/>
          <w:szCs w:val="28"/>
        </w:rPr>
        <w:t xml:space="preserve">региональной и муниципальной политики, направленной на </w:t>
      </w:r>
      <w:r w:rsidRPr="00A4024D">
        <w:t xml:space="preserve">улучшение делового климата, развитие конкуренции, </w:t>
      </w:r>
      <w:r w:rsidRPr="00A4024D">
        <w:rPr>
          <w:rStyle w:val="extended-textfull"/>
        </w:rPr>
        <w:t xml:space="preserve">поддержание условий для стабильного экономического и социального </w:t>
      </w:r>
      <w:r w:rsidRPr="00A4024D">
        <w:rPr>
          <w:rStyle w:val="extended-textfull"/>
          <w:bCs/>
        </w:rPr>
        <w:t>развития</w:t>
      </w:r>
      <w:r w:rsidRPr="00A4024D">
        <w:rPr>
          <w:rStyle w:val="extended-textfull"/>
        </w:rPr>
        <w:t xml:space="preserve"> </w:t>
      </w:r>
      <w:r w:rsidR="0044633C" w:rsidRPr="00A4024D">
        <w:rPr>
          <w:rStyle w:val="extended-textfull"/>
        </w:rPr>
        <w:t>экономики города</w:t>
      </w:r>
      <w:r w:rsidRPr="00A4024D">
        <w:rPr>
          <w:rStyle w:val="extended-textfull"/>
        </w:rPr>
        <w:t>.</w:t>
      </w:r>
    </w:p>
    <w:p w:rsidR="00220EBF" w:rsidRPr="00A4024D" w:rsidRDefault="00220EBF" w:rsidP="00FD1569">
      <w:pPr>
        <w:ind w:left="360"/>
        <w:jc w:val="center"/>
        <w:outlineLvl w:val="0"/>
        <w:rPr>
          <w:b/>
        </w:rPr>
      </w:pPr>
    </w:p>
    <w:p w:rsidR="00904EAD" w:rsidRPr="00A4024D" w:rsidRDefault="00FD1569" w:rsidP="00FD1569">
      <w:pPr>
        <w:ind w:left="360"/>
        <w:jc w:val="center"/>
        <w:outlineLvl w:val="0"/>
        <w:rPr>
          <w:b/>
        </w:rPr>
      </w:pPr>
      <w:r w:rsidRPr="00A4024D">
        <w:rPr>
          <w:b/>
        </w:rPr>
        <w:t xml:space="preserve">1. </w:t>
      </w:r>
      <w:r w:rsidR="00904EAD" w:rsidRPr="00A4024D">
        <w:rPr>
          <w:b/>
        </w:rPr>
        <w:t>ОСНОВНЫЕ МАКРОЭКОНОМИЧЕСКИЕ ПОКАЗАТЕЛИ</w:t>
      </w:r>
    </w:p>
    <w:p w:rsidR="00904EAD" w:rsidRPr="00A4024D" w:rsidRDefault="00904EAD" w:rsidP="00904EAD">
      <w:pPr>
        <w:ind w:left="360"/>
        <w:jc w:val="center"/>
        <w:outlineLvl w:val="0"/>
        <w:rPr>
          <w:b/>
        </w:rPr>
      </w:pPr>
      <w:r w:rsidRPr="00A4024D">
        <w:rPr>
          <w:b/>
        </w:rPr>
        <w:t>ПРОГНОЗА СОЦИАЛЬНО-ЭКОНОМИЧЕСКОГО РАЗВИТИЯ</w:t>
      </w:r>
      <w:r w:rsidR="00D65F62" w:rsidRPr="00A4024D">
        <w:rPr>
          <w:b/>
        </w:rPr>
        <w:t xml:space="preserve"> </w:t>
      </w:r>
      <w:r w:rsidRPr="00A4024D">
        <w:rPr>
          <w:b/>
        </w:rPr>
        <w:t xml:space="preserve">ГОРОДА ЛИПЕЦКА </w:t>
      </w:r>
      <w:r w:rsidR="00A95F7E" w:rsidRPr="00A4024D">
        <w:rPr>
          <w:b/>
        </w:rPr>
        <w:t xml:space="preserve">НА ДОЛГОСРОЧНЫЙ ПЕРИОД </w:t>
      </w:r>
      <w:r w:rsidR="00D65F62" w:rsidRPr="00A4024D">
        <w:rPr>
          <w:b/>
        </w:rPr>
        <w:t>ДО 202</w:t>
      </w:r>
      <w:r w:rsidR="0033371C" w:rsidRPr="00A4024D">
        <w:rPr>
          <w:b/>
        </w:rPr>
        <w:t>7</w:t>
      </w:r>
      <w:r w:rsidR="00D65F62" w:rsidRPr="00A4024D">
        <w:rPr>
          <w:b/>
        </w:rPr>
        <w:t xml:space="preserve"> ГОДА</w:t>
      </w:r>
    </w:p>
    <w:p w:rsidR="00102C52" w:rsidRPr="00A4024D" w:rsidRDefault="00102C52" w:rsidP="00904EAD">
      <w:pPr>
        <w:ind w:left="360"/>
        <w:jc w:val="center"/>
        <w:outlineLvl w:val="0"/>
        <w:rPr>
          <w:b/>
        </w:rPr>
      </w:pPr>
    </w:p>
    <w:p w:rsidR="00E03E72" w:rsidRPr="00A4024D" w:rsidRDefault="00D92A06" w:rsidP="00E03E7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На т</w:t>
      </w:r>
      <w:r w:rsidR="00E03E72" w:rsidRPr="00A4024D">
        <w:rPr>
          <w:szCs w:val="28"/>
        </w:rPr>
        <w:t xml:space="preserve">екущее состояние экономики </w:t>
      </w:r>
      <w:r w:rsidRPr="00A4024D">
        <w:rPr>
          <w:szCs w:val="28"/>
        </w:rPr>
        <w:t xml:space="preserve">большое влияние оказали мероприятия по стабилизации эпидемиологической ситуации в стране. </w:t>
      </w:r>
      <w:r w:rsidR="0044633C" w:rsidRPr="00A4024D">
        <w:rPr>
          <w:szCs w:val="28"/>
        </w:rPr>
        <w:t xml:space="preserve">Анализ оперативных показателей 2021 года </w:t>
      </w:r>
      <w:r w:rsidR="00E03E72" w:rsidRPr="00A4024D">
        <w:rPr>
          <w:szCs w:val="28"/>
        </w:rPr>
        <w:t xml:space="preserve">указывает на эффективность принятых мер </w:t>
      </w:r>
      <w:r w:rsidR="0044633C" w:rsidRPr="00A4024D">
        <w:rPr>
          <w:szCs w:val="28"/>
        </w:rPr>
        <w:t>по</w:t>
      </w:r>
      <w:r w:rsidR="00E03E72" w:rsidRPr="00A4024D">
        <w:rPr>
          <w:szCs w:val="28"/>
        </w:rPr>
        <w:t xml:space="preserve"> стабилизаци</w:t>
      </w:r>
      <w:r w:rsidR="0044633C" w:rsidRPr="00A4024D">
        <w:rPr>
          <w:szCs w:val="28"/>
        </w:rPr>
        <w:t>и</w:t>
      </w:r>
      <w:r w:rsidR="00E03E72" w:rsidRPr="00A4024D">
        <w:rPr>
          <w:szCs w:val="28"/>
        </w:rPr>
        <w:t xml:space="preserve"> социально-экономического развития города Липецка. Динамика макроэкономических показателей по отношению к уровню</w:t>
      </w:r>
      <w:r w:rsidR="0044633C" w:rsidRPr="00A4024D">
        <w:rPr>
          <w:szCs w:val="28"/>
        </w:rPr>
        <w:t xml:space="preserve"> 2020</w:t>
      </w:r>
      <w:r w:rsidR="00E03E72" w:rsidRPr="00A4024D">
        <w:rPr>
          <w:szCs w:val="28"/>
        </w:rPr>
        <w:t xml:space="preserve"> года имеет положительные значения. </w:t>
      </w:r>
    </w:p>
    <w:p w:rsidR="00E03E72" w:rsidRPr="00A4024D" w:rsidRDefault="00E03E72" w:rsidP="00E03E72">
      <w:pPr>
        <w:tabs>
          <w:tab w:val="left" w:pos="709"/>
        </w:tabs>
        <w:ind w:firstLine="709"/>
        <w:jc w:val="both"/>
      </w:pPr>
      <w:r w:rsidRPr="00A4024D">
        <w:t>Сложившаяся ситуация позволяет прогнозировать положительные тенденции на 20</w:t>
      </w:r>
      <w:r w:rsidR="0033371C" w:rsidRPr="00A4024D">
        <w:t>21</w:t>
      </w:r>
      <w:r w:rsidRPr="00A4024D">
        <w:t xml:space="preserve"> год и на долгосрочный период до 202</w:t>
      </w:r>
      <w:r w:rsidR="0033371C" w:rsidRPr="00A4024D">
        <w:t>7</w:t>
      </w:r>
      <w:r w:rsidRPr="00A4024D">
        <w:t xml:space="preserve"> года.</w:t>
      </w:r>
    </w:p>
    <w:p w:rsidR="00E03E72" w:rsidRPr="00A4024D" w:rsidRDefault="00E03E72" w:rsidP="00E03E72">
      <w:pPr>
        <w:ind w:firstLine="720"/>
        <w:jc w:val="both"/>
      </w:pPr>
      <w:r w:rsidRPr="00A4024D">
        <w:t>Долгосрочным прогнозом определена следующая динамика показателей социально-экономического развития города Липецка в 20</w:t>
      </w:r>
      <w:r w:rsidR="0033371C" w:rsidRPr="00A4024D">
        <w:t>21</w:t>
      </w:r>
      <w:r w:rsidRPr="00A4024D">
        <w:t xml:space="preserve"> году к 20</w:t>
      </w:r>
      <w:r w:rsidR="0033371C" w:rsidRPr="00A4024D">
        <w:t>20</w:t>
      </w:r>
      <w:r w:rsidRPr="00A4024D">
        <w:t xml:space="preserve"> году:</w:t>
      </w:r>
    </w:p>
    <w:p w:rsidR="00E03E72" w:rsidRPr="00A4024D" w:rsidRDefault="00E03E72" w:rsidP="00E03E72">
      <w:pPr>
        <w:ind w:firstLine="720"/>
        <w:jc w:val="right"/>
      </w:pPr>
    </w:p>
    <w:p w:rsidR="00E03E72" w:rsidRPr="00A4024D" w:rsidRDefault="00E03E72" w:rsidP="00E03E72">
      <w:pPr>
        <w:ind w:firstLine="720"/>
        <w:jc w:val="right"/>
      </w:pPr>
      <w:r w:rsidRPr="00A4024D">
        <w:t>Таблица 1.1</w:t>
      </w:r>
    </w:p>
    <w:p w:rsidR="00E03E72" w:rsidRPr="00A4024D" w:rsidRDefault="00E03E72" w:rsidP="00E03E72">
      <w:pPr>
        <w:ind w:firstLine="720"/>
        <w:jc w:val="both"/>
      </w:pPr>
    </w:p>
    <w:p w:rsidR="00E03E72" w:rsidRPr="00A4024D" w:rsidRDefault="00E03E72" w:rsidP="00E03E72">
      <w:pPr>
        <w:ind w:firstLine="720"/>
        <w:jc w:val="center"/>
        <w:rPr>
          <w:b/>
        </w:rPr>
      </w:pPr>
      <w:r w:rsidRPr="00A4024D">
        <w:rPr>
          <w:b/>
        </w:rPr>
        <w:t xml:space="preserve">Динамика показателей социально-экономического развития </w:t>
      </w:r>
    </w:p>
    <w:p w:rsidR="00E03E72" w:rsidRPr="00A4024D" w:rsidRDefault="00E03E72" w:rsidP="00E03E72">
      <w:pPr>
        <w:ind w:firstLine="720"/>
        <w:jc w:val="center"/>
        <w:rPr>
          <w:b/>
        </w:rPr>
      </w:pPr>
      <w:r w:rsidRPr="00A4024D">
        <w:rPr>
          <w:b/>
        </w:rPr>
        <w:t>города Липецка в 20</w:t>
      </w:r>
      <w:r w:rsidR="0033371C" w:rsidRPr="00A4024D">
        <w:rPr>
          <w:b/>
        </w:rPr>
        <w:t>2</w:t>
      </w:r>
      <w:r w:rsidR="00844DAB" w:rsidRPr="00A4024D">
        <w:rPr>
          <w:b/>
        </w:rPr>
        <w:t>2</w:t>
      </w:r>
      <w:r w:rsidRPr="00A4024D">
        <w:rPr>
          <w:b/>
        </w:rPr>
        <w:t xml:space="preserve"> году к 20</w:t>
      </w:r>
      <w:r w:rsidR="0033371C" w:rsidRPr="00A4024D">
        <w:rPr>
          <w:b/>
        </w:rPr>
        <w:t>2</w:t>
      </w:r>
      <w:r w:rsidR="00844DAB" w:rsidRPr="00A4024D">
        <w:rPr>
          <w:b/>
        </w:rPr>
        <w:t>1</w:t>
      </w:r>
      <w:r w:rsidRPr="00A4024D">
        <w:rPr>
          <w:b/>
        </w:rPr>
        <w:t xml:space="preserve"> году</w:t>
      </w:r>
    </w:p>
    <w:p w:rsidR="00E03E72" w:rsidRPr="00A4024D" w:rsidRDefault="00E03E72" w:rsidP="00E03E72">
      <w:pPr>
        <w:ind w:firstLine="720"/>
        <w:jc w:val="center"/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1808"/>
        <w:gridCol w:w="1895"/>
      </w:tblGrid>
      <w:tr w:rsidR="00E03E72" w:rsidRPr="00A4024D" w:rsidTr="00E03E72">
        <w:trPr>
          <w:trHeight w:val="443"/>
          <w:jc w:val="center"/>
        </w:trPr>
        <w:tc>
          <w:tcPr>
            <w:tcW w:w="4209" w:type="dxa"/>
            <w:shd w:val="clear" w:color="auto" w:fill="auto"/>
            <w:vAlign w:val="center"/>
          </w:tcPr>
          <w:p w:rsidR="00E03E72" w:rsidRPr="00A4024D" w:rsidRDefault="00E03E72" w:rsidP="00220EBF">
            <w:pPr>
              <w:spacing w:after="60"/>
              <w:jc w:val="center"/>
              <w:rPr>
                <w:sz w:val="26"/>
                <w:szCs w:val="26"/>
              </w:rPr>
            </w:pPr>
            <w:r w:rsidRPr="00A4024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3E72" w:rsidRPr="00A4024D" w:rsidRDefault="00E03E72" w:rsidP="00220EBF">
            <w:pPr>
              <w:spacing w:after="60"/>
              <w:jc w:val="center"/>
              <w:rPr>
                <w:sz w:val="26"/>
                <w:szCs w:val="26"/>
              </w:rPr>
            </w:pPr>
            <w:r w:rsidRPr="00A4024D">
              <w:rPr>
                <w:sz w:val="26"/>
                <w:szCs w:val="26"/>
              </w:rPr>
              <w:t>1 вариант, %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3E72" w:rsidRPr="00A4024D" w:rsidRDefault="00E03E72" w:rsidP="00220EBF">
            <w:pPr>
              <w:spacing w:after="60"/>
              <w:jc w:val="center"/>
              <w:rPr>
                <w:sz w:val="26"/>
                <w:szCs w:val="26"/>
              </w:rPr>
            </w:pPr>
            <w:r w:rsidRPr="00A4024D">
              <w:rPr>
                <w:sz w:val="26"/>
                <w:szCs w:val="26"/>
              </w:rPr>
              <w:t>2 вариант, %</w:t>
            </w:r>
          </w:p>
        </w:tc>
      </w:tr>
      <w:tr w:rsidR="00E03E72" w:rsidRPr="00A4024D" w:rsidTr="00E03E72">
        <w:trPr>
          <w:trHeight w:val="1943"/>
          <w:jc w:val="center"/>
        </w:trPr>
        <w:tc>
          <w:tcPr>
            <w:tcW w:w="4209" w:type="dxa"/>
            <w:shd w:val="clear" w:color="auto" w:fill="auto"/>
          </w:tcPr>
          <w:p w:rsidR="00E03E72" w:rsidRPr="00A4024D" w:rsidRDefault="00E03E72" w:rsidP="00220EBF">
            <w:pPr>
              <w:pStyle w:val="aff"/>
              <w:rPr>
                <w:sz w:val="28"/>
                <w:szCs w:val="28"/>
              </w:rPr>
            </w:pPr>
            <w:r w:rsidRPr="00A4024D">
              <w:rPr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услуг, </w:t>
            </w:r>
          </w:p>
          <w:p w:rsidR="00E03E72" w:rsidRPr="00A4024D" w:rsidRDefault="00E03E72" w:rsidP="00220EBF">
            <w:pPr>
              <w:pStyle w:val="aff"/>
              <w:rPr>
                <w:sz w:val="28"/>
                <w:szCs w:val="28"/>
              </w:rPr>
            </w:pPr>
            <w:r w:rsidRPr="00A4024D">
              <w:rPr>
                <w:sz w:val="28"/>
                <w:szCs w:val="28"/>
              </w:rPr>
              <w:t xml:space="preserve">по видам деятельности, относящимся </w:t>
            </w:r>
            <w:r w:rsidRPr="00A4024D">
              <w:rPr>
                <w:color w:val="000000"/>
                <w:sz w:val="28"/>
                <w:szCs w:val="28"/>
              </w:rPr>
              <w:t>к промышленному производству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105,5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105,4</w:t>
            </w:r>
          </w:p>
        </w:tc>
      </w:tr>
      <w:tr w:rsidR="00E03E72" w:rsidRPr="00A4024D" w:rsidTr="00E03E72">
        <w:trPr>
          <w:trHeight w:val="695"/>
          <w:jc w:val="center"/>
        </w:trPr>
        <w:tc>
          <w:tcPr>
            <w:tcW w:w="4209" w:type="dxa"/>
            <w:shd w:val="clear" w:color="auto" w:fill="auto"/>
          </w:tcPr>
          <w:p w:rsidR="00E03E72" w:rsidRPr="00A4024D" w:rsidRDefault="00E03E72" w:rsidP="00220EBF">
            <w:pPr>
              <w:rPr>
                <w:color w:val="000000"/>
                <w:szCs w:val="28"/>
              </w:rPr>
            </w:pPr>
            <w:r w:rsidRPr="00A4024D">
              <w:rPr>
                <w:color w:val="000000"/>
                <w:szCs w:val="28"/>
              </w:rPr>
              <w:t>Инвестиции в основной капитал</w:t>
            </w:r>
          </w:p>
          <w:p w:rsidR="00E03E72" w:rsidRPr="00A4024D" w:rsidRDefault="00E03E72" w:rsidP="00220EBF">
            <w:pPr>
              <w:rPr>
                <w:szCs w:val="28"/>
              </w:rPr>
            </w:pPr>
            <w:r w:rsidRPr="00A4024D">
              <w:rPr>
                <w:color w:val="000000"/>
                <w:szCs w:val="28"/>
              </w:rPr>
              <w:t>(в сопоставимых ценах)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103,4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102,1</w:t>
            </w:r>
          </w:p>
        </w:tc>
      </w:tr>
      <w:tr w:rsidR="00E03E72" w:rsidRPr="00A4024D" w:rsidTr="00E03E72">
        <w:trPr>
          <w:trHeight w:val="421"/>
          <w:jc w:val="center"/>
        </w:trPr>
        <w:tc>
          <w:tcPr>
            <w:tcW w:w="4209" w:type="dxa"/>
            <w:shd w:val="clear" w:color="auto" w:fill="auto"/>
          </w:tcPr>
          <w:p w:rsidR="00E03E72" w:rsidRPr="00A4024D" w:rsidRDefault="00E03E72" w:rsidP="00220EBF">
            <w:pPr>
              <w:rPr>
                <w:szCs w:val="28"/>
              </w:rPr>
            </w:pPr>
            <w:r w:rsidRPr="00A4024D">
              <w:rPr>
                <w:color w:val="000000"/>
                <w:szCs w:val="28"/>
              </w:rPr>
              <w:t>Оборот розничной торговли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106,9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106,2</w:t>
            </w:r>
          </w:p>
        </w:tc>
      </w:tr>
      <w:tr w:rsidR="00E03E72" w:rsidRPr="00A4024D" w:rsidTr="00E03E72">
        <w:trPr>
          <w:trHeight w:val="683"/>
          <w:jc w:val="center"/>
        </w:trPr>
        <w:tc>
          <w:tcPr>
            <w:tcW w:w="4209" w:type="dxa"/>
            <w:shd w:val="clear" w:color="auto" w:fill="auto"/>
          </w:tcPr>
          <w:p w:rsidR="00E03E72" w:rsidRPr="00A4024D" w:rsidRDefault="00E03E72" w:rsidP="00220EBF">
            <w:pPr>
              <w:rPr>
                <w:szCs w:val="28"/>
              </w:rPr>
            </w:pPr>
            <w:r w:rsidRPr="00A4024D">
              <w:rPr>
                <w:color w:val="000000"/>
                <w:szCs w:val="28"/>
              </w:rPr>
              <w:t>Финансовый результат прибыльных организаций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106,1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104,9</w:t>
            </w:r>
          </w:p>
        </w:tc>
      </w:tr>
      <w:tr w:rsidR="0044633C" w:rsidRPr="00A4024D" w:rsidTr="0044633C">
        <w:trPr>
          <w:trHeight w:val="471"/>
          <w:jc w:val="center"/>
        </w:trPr>
        <w:tc>
          <w:tcPr>
            <w:tcW w:w="4209" w:type="dxa"/>
            <w:shd w:val="clear" w:color="auto" w:fill="auto"/>
          </w:tcPr>
          <w:p w:rsidR="0044633C" w:rsidRPr="00A4024D" w:rsidRDefault="0044633C" w:rsidP="00220EBF">
            <w:pPr>
              <w:rPr>
                <w:color w:val="000000"/>
                <w:szCs w:val="28"/>
              </w:rPr>
            </w:pPr>
            <w:r w:rsidRPr="00A4024D">
              <w:rPr>
                <w:color w:val="000000"/>
                <w:szCs w:val="28"/>
              </w:rPr>
              <w:t>Индекс потребительских цен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4633C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104,3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4633C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105,2</w:t>
            </w:r>
          </w:p>
        </w:tc>
      </w:tr>
      <w:tr w:rsidR="00E03E72" w:rsidRPr="00A4024D" w:rsidTr="00E03E72">
        <w:trPr>
          <w:trHeight w:val="707"/>
          <w:jc w:val="center"/>
        </w:trPr>
        <w:tc>
          <w:tcPr>
            <w:tcW w:w="4209" w:type="dxa"/>
            <w:shd w:val="clear" w:color="auto" w:fill="auto"/>
          </w:tcPr>
          <w:p w:rsidR="00E03E72" w:rsidRPr="00A4024D" w:rsidRDefault="00E03E72" w:rsidP="00220EBF">
            <w:pPr>
              <w:rPr>
                <w:szCs w:val="28"/>
              </w:rPr>
            </w:pPr>
            <w:r w:rsidRPr="00A4024D">
              <w:rPr>
                <w:color w:val="000000"/>
                <w:szCs w:val="28"/>
              </w:rPr>
              <w:t>Фонд начисленной заработной платы</w:t>
            </w:r>
            <w:r w:rsidRPr="00A4024D">
              <w:rPr>
                <w:color w:val="000000"/>
                <w:szCs w:val="28"/>
              </w:rPr>
              <w:tab/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106,8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3E72" w:rsidRPr="00A4024D" w:rsidRDefault="005240B2" w:rsidP="00220EBF">
            <w:pPr>
              <w:spacing w:after="60"/>
              <w:jc w:val="center"/>
              <w:rPr>
                <w:szCs w:val="28"/>
              </w:rPr>
            </w:pPr>
            <w:r w:rsidRPr="00A4024D">
              <w:rPr>
                <w:szCs w:val="28"/>
              </w:rPr>
              <w:t>105,9</w:t>
            </w:r>
          </w:p>
        </w:tc>
      </w:tr>
    </w:tbl>
    <w:p w:rsidR="0044633C" w:rsidRPr="00A4024D" w:rsidRDefault="0044633C" w:rsidP="00E03E72">
      <w:pPr>
        <w:jc w:val="right"/>
        <w:outlineLvl w:val="0"/>
      </w:pPr>
    </w:p>
    <w:p w:rsidR="00E03E72" w:rsidRPr="00A4024D" w:rsidRDefault="00E03E72" w:rsidP="00E03E72">
      <w:pPr>
        <w:jc w:val="right"/>
        <w:outlineLvl w:val="0"/>
      </w:pPr>
      <w:r w:rsidRPr="00A4024D">
        <w:t>Таблица 1.2</w:t>
      </w:r>
    </w:p>
    <w:p w:rsidR="00E03E72" w:rsidRPr="00A4024D" w:rsidRDefault="00E03E72" w:rsidP="00E03E72">
      <w:pPr>
        <w:pStyle w:val="1"/>
        <w:jc w:val="center"/>
      </w:pPr>
    </w:p>
    <w:p w:rsidR="00E03E72" w:rsidRPr="00A4024D" w:rsidRDefault="00E03E72" w:rsidP="00E03E72">
      <w:pPr>
        <w:pStyle w:val="1"/>
        <w:jc w:val="center"/>
        <w:rPr>
          <w:b/>
        </w:rPr>
      </w:pPr>
      <w:r w:rsidRPr="00A4024D">
        <w:rPr>
          <w:b/>
        </w:rPr>
        <w:t xml:space="preserve">Основные макроэкономические показатели  </w:t>
      </w:r>
      <w:proofErr w:type="gramStart"/>
      <w:r w:rsidRPr="00A4024D">
        <w:rPr>
          <w:b/>
        </w:rPr>
        <w:t>социально-экономического</w:t>
      </w:r>
      <w:proofErr w:type="gramEnd"/>
      <w:r w:rsidRPr="00A4024D">
        <w:rPr>
          <w:b/>
        </w:rPr>
        <w:t xml:space="preserve"> </w:t>
      </w:r>
    </w:p>
    <w:p w:rsidR="00E03E72" w:rsidRPr="00A4024D" w:rsidRDefault="00E03E72" w:rsidP="00E03E72">
      <w:pPr>
        <w:pStyle w:val="1"/>
        <w:jc w:val="center"/>
        <w:rPr>
          <w:b/>
        </w:rPr>
      </w:pPr>
      <w:r w:rsidRPr="00A4024D">
        <w:rPr>
          <w:b/>
        </w:rPr>
        <w:t>развития города Липецка на долгосрочный период до 202</w:t>
      </w:r>
      <w:r w:rsidR="0033371C" w:rsidRPr="00A4024D">
        <w:rPr>
          <w:b/>
        </w:rPr>
        <w:t>7</w:t>
      </w:r>
      <w:r w:rsidRPr="00A4024D">
        <w:rPr>
          <w:b/>
        </w:rPr>
        <w:t xml:space="preserve"> года</w:t>
      </w:r>
    </w:p>
    <w:p w:rsidR="00E03E72" w:rsidRPr="00A4024D" w:rsidRDefault="00E03E72" w:rsidP="00E03E72">
      <w:pPr>
        <w:pStyle w:val="22"/>
        <w:jc w:val="right"/>
        <w:rPr>
          <w:sz w:val="20"/>
        </w:rPr>
      </w:pPr>
    </w:p>
    <w:p w:rsidR="00E03E72" w:rsidRPr="00A4024D" w:rsidRDefault="00E03E72" w:rsidP="00E03E72">
      <w:pPr>
        <w:pStyle w:val="22"/>
        <w:jc w:val="right"/>
        <w:rPr>
          <w:sz w:val="20"/>
        </w:rPr>
      </w:pPr>
      <w:r w:rsidRPr="00A4024D">
        <w:rPr>
          <w:sz w:val="20"/>
        </w:rPr>
        <w:t>Стоимостные показатели -</w:t>
      </w:r>
    </w:p>
    <w:p w:rsidR="00E03E72" w:rsidRPr="00A4024D" w:rsidRDefault="00E03E72" w:rsidP="00E03E72">
      <w:pPr>
        <w:pStyle w:val="22"/>
        <w:jc w:val="right"/>
        <w:rPr>
          <w:sz w:val="20"/>
        </w:rPr>
      </w:pPr>
      <w:r w:rsidRPr="00A4024D">
        <w:rPr>
          <w:sz w:val="20"/>
        </w:rPr>
        <w:t>в ценах соответствующих лет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708"/>
        <w:gridCol w:w="709"/>
        <w:gridCol w:w="656"/>
        <w:gridCol w:w="567"/>
        <w:gridCol w:w="567"/>
        <w:gridCol w:w="683"/>
        <w:gridCol w:w="591"/>
        <w:gridCol w:w="567"/>
        <w:gridCol w:w="583"/>
        <w:gridCol w:w="567"/>
        <w:gridCol w:w="654"/>
        <w:gridCol w:w="567"/>
        <w:gridCol w:w="613"/>
        <w:gridCol w:w="625"/>
      </w:tblGrid>
      <w:tr w:rsidR="00E03E72" w:rsidRPr="00A4024D" w:rsidTr="00220EBF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33371C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33371C" w:rsidRPr="00A4024D">
              <w:rPr>
                <w:sz w:val="18"/>
                <w:szCs w:val="18"/>
              </w:rPr>
              <w:t>20</w:t>
            </w:r>
            <w:r w:rsidRPr="00A4024D">
              <w:rPr>
                <w:sz w:val="18"/>
                <w:szCs w:val="18"/>
              </w:rPr>
              <w:t xml:space="preserve"> год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33371C" w:rsidRPr="00A4024D">
              <w:rPr>
                <w:sz w:val="18"/>
                <w:szCs w:val="18"/>
              </w:rPr>
              <w:t>21</w:t>
            </w:r>
            <w:r w:rsidRPr="00A4024D">
              <w:rPr>
                <w:sz w:val="18"/>
                <w:szCs w:val="18"/>
              </w:rPr>
              <w:t xml:space="preserve"> </w:t>
            </w:r>
          </w:p>
          <w:p w:rsidR="00E03E72" w:rsidRPr="00A4024D" w:rsidRDefault="00E03E72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год (оценка)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33371C" w:rsidRPr="00A4024D">
              <w:rPr>
                <w:sz w:val="18"/>
                <w:szCs w:val="18"/>
              </w:rPr>
              <w:t>22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33371C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33371C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прогноз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33371C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33371C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33371C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220EBF">
        <w:trPr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75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pStyle w:val="aff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производству*</w:t>
            </w:r>
          </w:p>
        </w:tc>
      </w:tr>
      <w:tr w:rsidR="00282E0E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649,7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730,5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423,7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768,4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815,7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897,4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865,3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961,9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918,4</w:t>
            </w:r>
          </w:p>
        </w:tc>
      </w:tr>
      <w:tr w:rsidR="00282E0E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113,6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106,1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color w:val="000000"/>
                <w:sz w:val="22"/>
                <w:szCs w:val="22"/>
              </w:rPr>
            </w:pPr>
            <w:r w:rsidRPr="00A4024D">
              <w:rPr>
                <w:color w:val="000000"/>
                <w:sz w:val="22"/>
                <w:szCs w:val="22"/>
              </w:rPr>
              <w:t>Объем инвестиций в основной капитал*</w:t>
            </w:r>
          </w:p>
        </w:tc>
      </w:tr>
      <w:tr w:rsidR="00282E0E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67,6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81,5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74,1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78,1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82,4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86,9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116,8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91,7</w:t>
            </w:r>
          </w:p>
        </w:tc>
      </w:tr>
      <w:tr w:rsidR="00282E0E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 </w:t>
            </w:r>
          </w:p>
          <w:p w:rsidR="00282E0E" w:rsidRPr="00A4024D" w:rsidRDefault="00282E0E" w:rsidP="00282E0E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(в сопоставимых ценах)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104,9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103,5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color w:val="000000"/>
                <w:sz w:val="22"/>
                <w:szCs w:val="22"/>
              </w:rPr>
            </w:pPr>
            <w:r w:rsidRPr="00A4024D">
              <w:rPr>
                <w:color w:val="000000"/>
                <w:sz w:val="22"/>
                <w:szCs w:val="22"/>
              </w:rPr>
              <w:t>Ввод в действие жилых домов</w:t>
            </w:r>
          </w:p>
        </w:tc>
      </w:tr>
      <w:tr w:rsidR="00713F68" w:rsidRPr="00A4024D" w:rsidTr="00220EBF">
        <w:trPr>
          <w:trHeight w:val="28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555,0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565,0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410,0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415,0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420,0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585,0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430,0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91,3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Оборот розничной торговли*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75533,6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81917,1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87581,4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41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86981,2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93636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92356,5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98066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106403,8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104128,4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113426,5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110565,6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120912,6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117400,8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108,5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41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Численность постоянного населения (на конец года)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503216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500819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</w:t>
            </w:r>
            <w:r w:rsidR="00433912">
              <w:rPr>
                <w:sz w:val="15"/>
                <w:szCs w:val="15"/>
              </w:rPr>
              <w:t>0</w:t>
            </w:r>
            <w:r w:rsidRPr="00A4024D">
              <w:rPr>
                <w:sz w:val="15"/>
                <w:szCs w:val="15"/>
              </w:rPr>
              <w:t>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500008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500026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500167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501170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500419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7" w:right="-109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100,1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A4024D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A4024D">
              <w:rPr>
                <w:color w:val="000000"/>
                <w:sz w:val="22"/>
                <w:szCs w:val="22"/>
              </w:rPr>
              <w:t>*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130707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131621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73" w:right="-114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131655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131633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131880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131754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132167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131886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132455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132743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132150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133032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132282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7"/>
                <w:szCs w:val="17"/>
              </w:rPr>
            </w:pPr>
            <w:proofErr w:type="gramStart"/>
            <w:r w:rsidRPr="00A4024D">
              <w:rPr>
                <w:color w:val="000000"/>
                <w:sz w:val="17"/>
                <w:szCs w:val="17"/>
              </w:rPr>
              <w:t>в</w:t>
            </w:r>
            <w:proofErr w:type="gramEnd"/>
            <w:r w:rsidRPr="00A4024D">
              <w:rPr>
                <w:color w:val="000000"/>
                <w:sz w:val="17"/>
                <w:szCs w:val="17"/>
              </w:rPr>
              <w:t xml:space="preserve"> % </w:t>
            </w:r>
            <w:proofErr w:type="gramStart"/>
            <w:r w:rsidRPr="00A4024D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A4024D">
              <w:rPr>
                <w:color w:val="000000"/>
                <w:sz w:val="17"/>
                <w:szCs w:val="17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Фонд начисленной заработной платы*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72177,6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76718,4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73" w:right="-114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81935,3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81244,8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87588,8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86038,2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93632,4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91200,5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100186,7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96763,8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107299,9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102685,7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114918,2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108990,6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60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Среднемесячная заработная плата*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46013,7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48728,5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73" w:right="-114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 xml:space="preserve"> 51700,9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51554,8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60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 xml:space="preserve"> 54906,4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54648,0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58420,4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57926,9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62159,3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61402,5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66075,3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65092,8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70251,3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68946,3</w:t>
            </w:r>
          </w:p>
        </w:tc>
      </w:tr>
      <w:tr w:rsidR="00713F68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60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F68" w:rsidRPr="00A4024D" w:rsidRDefault="00713F68" w:rsidP="00100E9E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</w:tr>
      <w:tr w:rsidR="00E03E72" w:rsidRPr="00A4024D" w:rsidTr="00220EBF">
        <w:trPr>
          <w:jc w:val="center"/>
        </w:trPr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color w:val="000000"/>
                <w:sz w:val="22"/>
                <w:szCs w:val="22"/>
              </w:rPr>
            </w:pPr>
            <w:r w:rsidRPr="00A4024D">
              <w:rPr>
                <w:color w:val="000000"/>
                <w:sz w:val="22"/>
                <w:szCs w:val="22"/>
              </w:rPr>
              <w:t>Финансовый результат  прибыльных организаций*</w:t>
            </w:r>
          </w:p>
        </w:tc>
      </w:tr>
      <w:tr w:rsidR="005240B2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108,5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122,6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120,2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126,8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94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133,9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141,5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162,7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149,6</w:t>
            </w:r>
          </w:p>
        </w:tc>
      </w:tr>
      <w:tr w:rsidR="005240B2" w:rsidRPr="00A4024D" w:rsidTr="00220EBF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108,3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94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B2" w:rsidRPr="00A4024D" w:rsidRDefault="005240B2" w:rsidP="005240B2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105,8</w:t>
            </w:r>
          </w:p>
        </w:tc>
      </w:tr>
    </w:tbl>
    <w:p w:rsidR="00E03E72" w:rsidRPr="00A4024D" w:rsidRDefault="00E03E72" w:rsidP="00E03E72">
      <w:pPr>
        <w:rPr>
          <w:color w:val="000000"/>
          <w:sz w:val="20"/>
        </w:rPr>
      </w:pPr>
    </w:p>
    <w:p w:rsidR="00E03E72" w:rsidRPr="00A4024D" w:rsidRDefault="00E03E72" w:rsidP="00E03E72">
      <w:pPr>
        <w:rPr>
          <w:color w:val="000000"/>
          <w:sz w:val="20"/>
        </w:rPr>
      </w:pPr>
      <w:r w:rsidRPr="00A4024D">
        <w:rPr>
          <w:color w:val="000000"/>
          <w:sz w:val="20"/>
        </w:rPr>
        <w:t>*По крупным и средним организациям</w:t>
      </w:r>
    </w:p>
    <w:p w:rsidR="009B35C7" w:rsidRPr="00A4024D" w:rsidRDefault="009B35C7" w:rsidP="00E03E72">
      <w:pPr>
        <w:pStyle w:val="1"/>
        <w:ind w:firstLine="709"/>
        <w:jc w:val="center"/>
        <w:rPr>
          <w:color w:val="000000"/>
          <w:lang w:val="en-US"/>
        </w:rPr>
      </w:pPr>
    </w:p>
    <w:p w:rsidR="00E03E72" w:rsidRPr="00A4024D" w:rsidRDefault="00E03E72" w:rsidP="00E03E72">
      <w:pPr>
        <w:pStyle w:val="1"/>
        <w:ind w:firstLine="709"/>
        <w:jc w:val="center"/>
        <w:rPr>
          <w:b/>
          <w:color w:val="000000"/>
        </w:rPr>
      </w:pPr>
      <w:r w:rsidRPr="00A4024D">
        <w:rPr>
          <w:b/>
          <w:color w:val="000000"/>
        </w:rPr>
        <w:t>2. Демографическая ситуация</w:t>
      </w:r>
    </w:p>
    <w:p w:rsidR="00E03E72" w:rsidRPr="00A4024D" w:rsidRDefault="00E03E72" w:rsidP="00E03E72">
      <w:pPr>
        <w:ind w:firstLine="709"/>
        <w:jc w:val="both"/>
        <w:rPr>
          <w:rFonts w:eastAsia="Calibri"/>
          <w:color w:val="4F6228"/>
          <w:szCs w:val="28"/>
        </w:rPr>
      </w:pPr>
    </w:p>
    <w:p w:rsidR="00A247ED" w:rsidRPr="00A4024D" w:rsidRDefault="00A247ED" w:rsidP="00A247ED">
      <w:pPr>
        <w:ind w:firstLine="708"/>
        <w:jc w:val="both"/>
        <w:rPr>
          <w:color w:val="000000"/>
        </w:rPr>
      </w:pPr>
      <w:r w:rsidRPr="00A4024D">
        <w:rPr>
          <w:color w:val="000000"/>
        </w:rPr>
        <w:t>Демографическая ситуация в городе характеризуется продолжающимся процессом естественной убыли населения, связанной с превышением смертности над рождаемостью.</w:t>
      </w:r>
    </w:p>
    <w:p w:rsidR="00A247ED" w:rsidRPr="00A4024D" w:rsidRDefault="00A247ED" w:rsidP="00A247ED">
      <w:pPr>
        <w:ind w:firstLine="708"/>
        <w:jc w:val="both"/>
        <w:rPr>
          <w:color w:val="000000"/>
        </w:rPr>
      </w:pPr>
      <w:r w:rsidRPr="00A4024D">
        <w:rPr>
          <w:color w:val="000000"/>
        </w:rPr>
        <w:t>По данным на 01.01.2021 численность населения в границах муниципального образования составила 503216 человек. В 2020 году родилось 4447 человек, число умерших составило 8116 человек.</w:t>
      </w:r>
    </w:p>
    <w:p w:rsidR="00E03E72" w:rsidRPr="00A4024D" w:rsidRDefault="00E03E72" w:rsidP="00E03E72">
      <w:pPr>
        <w:ind w:firstLine="708"/>
        <w:jc w:val="both"/>
        <w:rPr>
          <w:rFonts w:eastAsia="Calibri"/>
          <w:color w:val="000000"/>
          <w:szCs w:val="28"/>
        </w:rPr>
      </w:pPr>
      <w:r w:rsidRPr="00A4024D">
        <w:rPr>
          <w:rFonts w:eastAsia="Calibri"/>
          <w:color w:val="000000"/>
          <w:szCs w:val="28"/>
        </w:rPr>
        <w:t>За январь-март 20</w:t>
      </w:r>
      <w:r w:rsidR="00A247ED" w:rsidRPr="00A4024D">
        <w:rPr>
          <w:rFonts w:eastAsia="Calibri"/>
          <w:color w:val="000000"/>
          <w:szCs w:val="28"/>
        </w:rPr>
        <w:t>21</w:t>
      </w:r>
      <w:r w:rsidRPr="00A4024D">
        <w:rPr>
          <w:rFonts w:eastAsia="Calibri"/>
          <w:color w:val="000000"/>
          <w:szCs w:val="28"/>
        </w:rPr>
        <w:t xml:space="preserve"> года родилось </w:t>
      </w:r>
      <w:r w:rsidR="00A247ED" w:rsidRPr="00A4024D">
        <w:rPr>
          <w:rFonts w:eastAsia="Calibri"/>
          <w:color w:val="000000"/>
          <w:szCs w:val="28"/>
        </w:rPr>
        <w:t>1005</w:t>
      </w:r>
      <w:r w:rsidRPr="00A4024D">
        <w:rPr>
          <w:rFonts w:eastAsia="Calibri"/>
          <w:color w:val="000000"/>
          <w:szCs w:val="28"/>
        </w:rPr>
        <w:t xml:space="preserve"> человек, что на </w:t>
      </w:r>
      <w:r w:rsidR="00A247ED" w:rsidRPr="00A4024D">
        <w:rPr>
          <w:rFonts w:eastAsia="Calibri"/>
          <w:color w:val="000000"/>
          <w:szCs w:val="28"/>
        </w:rPr>
        <w:t>3,3</w:t>
      </w:r>
      <w:r w:rsidRPr="00A4024D">
        <w:rPr>
          <w:rFonts w:eastAsia="Calibri"/>
          <w:color w:val="000000"/>
          <w:szCs w:val="28"/>
        </w:rPr>
        <w:t>% меньше по сравнению с аналогичным периодом 20</w:t>
      </w:r>
      <w:r w:rsidR="00A247ED" w:rsidRPr="00A4024D">
        <w:rPr>
          <w:rFonts w:eastAsia="Calibri"/>
          <w:color w:val="000000"/>
          <w:szCs w:val="28"/>
        </w:rPr>
        <w:t>20</w:t>
      </w:r>
      <w:r w:rsidRPr="00A4024D">
        <w:rPr>
          <w:rFonts w:eastAsia="Calibri"/>
          <w:color w:val="000000"/>
          <w:szCs w:val="28"/>
        </w:rPr>
        <w:t xml:space="preserve"> года. Число </w:t>
      </w:r>
      <w:proofErr w:type="gramStart"/>
      <w:r w:rsidRPr="00A4024D">
        <w:rPr>
          <w:rFonts w:eastAsia="Calibri"/>
          <w:color w:val="000000"/>
          <w:szCs w:val="28"/>
        </w:rPr>
        <w:t>умерших</w:t>
      </w:r>
      <w:proofErr w:type="gramEnd"/>
      <w:r w:rsidRPr="00A4024D">
        <w:rPr>
          <w:rFonts w:eastAsia="Calibri"/>
          <w:color w:val="000000"/>
          <w:szCs w:val="28"/>
        </w:rPr>
        <w:t xml:space="preserve"> за январь-март 20</w:t>
      </w:r>
      <w:r w:rsidR="00A247ED" w:rsidRPr="00A4024D">
        <w:rPr>
          <w:rFonts w:eastAsia="Calibri"/>
          <w:color w:val="000000"/>
          <w:szCs w:val="28"/>
        </w:rPr>
        <w:t>21</w:t>
      </w:r>
      <w:r w:rsidRPr="00A4024D">
        <w:rPr>
          <w:rFonts w:eastAsia="Calibri"/>
          <w:color w:val="000000"/>
          <w:szCs w:val="28"/>
        </w:rPr>
        <w:t xml:space="preserve"> года составило </w:t>
      </w:r>
      <w:r w:rsidR="00A247ED" w:rsidRPr="00A4024D">
        <w:rPr>
          <w:rFonts w:eastAsia="Calibri"/>
          <w:color w:val="000000"/>
          <w:szCs w:val="28"/>
        </w:rPr>
        <w:t>2317</w:t>
      </w:r>
      <w:r w:rsidRPr="00A4024D">
        <w:rPr>
          <w:rFonts w:eastAsia="Calibri"/>
          <w:color w:val="000000"/>
          <w:szCs w:val="28"/>
        </w:rPr>
        <w:t xml:space="preserve"> человека, что на </w:t>
      </w:r>
      <w:r w:rsidR="00A247ED" w:rsidRPr="00A4024D">
        <w:rPr>
          <w:rFonts w:eastAsia="Calibri"/>
          <w:color w:val="000000"/>
          <w:szCs w:val="28"/>
        </w:rPr>
        <w:t>43,3</w:t>
      </w:r>
      <w:r w:rsidRPr="00A4024D">
        <w:rPr>
          <w:rFonts w:eastAsia="Calibri"/>
          <w:color w:val="000000"/>
          <w:szCs w:val="28"/>
        </w:rPr>
        <w:t>% меньше по сравнению с аналогичным периодом 20</w:t>
      </w:r>
      <w:r w:rsidR="00A247ED" w:rsidRPr="00A4024D">
        <w:rPr>
          <w:rFonts w:eastAsia="Calibri"/>
          <w:color w:val="000000"/>
          <w:szCs w:val="28"/>
        </w:rPr>
        <w:t>20</w:t>
      </w:r>
      <w:r w:rsidRPr="00A4024D">
        <w:rPr>
          <w:rFonts w:eastAsia="Calibri"/>
          <w:color w:val="000000"/>
          <w:szCs w:val="28"/>
        </w:rPr>
        <w:t xml:space="preserve"> года.</w:t>
      </w:r>
    </w:p>
    <w:p w:rsidR="00E03E72" w:rsidRPr="00A4024D" w:rsidRDefault="00A247ED" w:rsidP="00E03E72">
      <w:pPr>
        <w:ind w:firstLine="708"/>
        <w:jc w:val="both"/>
        <w:rPr>
          <w:rFonts w:eastAsia="Calibri"/>
          <w:color w:val="000000"/>
          <w:szCs w:val="28"/>
        </w:rPr>
      </w:pPr>
      <w:r w:rsidRPr="00A4024D">
        <w:rPr>
          <w:rFonts w:eastAsia="Calibri"/>
          <w:color w:val="000000"/>
          <w:szCs w:val="28"/>
        </w:rPr>
        <w:t xml:space="preserve">Естественная убыль населения в 2020 году составила 3669 человек, что в 2,3 раза превышает уровень 2019 года. </w:t>
      </w:r>
      <w:r w:rsidR="00E03E72" w:rsidRPr="00A4024D">
        <w:rPr>
          <w:rFonts w:eastAsia="Calibri"/>
          <w:color w:val="000000"/>
          <w:szCs w:val="28"/>
        </w:rPr>
        <w:t>Естественная убыль за январь-март  20</w:t>
      </w:r>
      <w:r w:rsidRPr="00A4024D">
        <w:rPr>
          <w:rFonts w:eastAsia="Calibri"/>
          <w:color w:val="000000"/>
          <w:szCs w:val="28"/>
        </w:rPr>
        <w:t xml:space="preserve">21 </w:t>
      </w:r>
      <w:r w:rsidR="00E03E72" w:rsidRPr="00A4024D">
        <w:rPr>
          <w:rFonts w:eastAsia="Calibri"/>
          <w:color w:val="000000"/>
          <w:szCs w:val="28"/>
        </w:rPr>
        <w:t xml:space="preserve">года составила </w:t>
      </w:r>
      <w:r w:rsidRPr="00A4024D">
        <w:rPr>
          <w:rFonts w:eastAsia="Calibri"/>
          <w:color w:val="000000"/>
          <w:szCs w:val="28"/>
        </w:rPr>
        <w:t>1312</w:t>
      </w:r>
      <w:r w:rsidR="00E03E72" w:rsidRPr="00A4024D">
        <w:rPr>
          <w:rFonts w:eastAsia="Calibri"/>
          <w:color w:val="000000"/>
          <w:szCs w:val="28"/>
        </w:rPr>
        <w:t xml:space="preserve"> человек, что на</w:t>
      </w:r>
      <w:r w:rsidRPr="00A4024D">
        <w:rPr>
          <w:rFonts w:eastAsia="Calibri"/>
          <w:color w:val="000000"/>
          <w:szCs w:val="28"/>
        </w:rPr>
        <w:t xml:space="preserve"> 734 </w:t>
      </w:r>
      <w:r w:rsidR="00E03E72" w:rsidRPr="00A4024D">
        <w:rPr>
          <w:rFonts w:eastAsia="Calibri"/>
          <w:color w:val="000000"/>
          <w:szCs w:val="28"/>
        </w:rPr>
        <w:t xml:space="preserve">человека </w:t>
      </w:r>
      <w:r w:rsidRPr="00A4024D">
        <w:rPr>
          <w:rFonts w:eastAsia="Calibri"/>
          <w:color w:val="000000"/>
          <w:szCs w:val="28"/>
        </w:rPr>
        <w:t>больше</w:t>
      </w:r>
      <w:r w:rsidR="00E03E72" w:rsidRPr="00A4024D">
        <w:rPr>
          <w:rFonts w:eastAsia="Calibri"/>
          <w:color w:val="000000"/>
          <w:szCs w:val="28"/>
        </w:rPr>
        <w:t xml:space="preserve"> по сравнению с аналогичным периодом 20</w:t>
      </w:r>
      <w:r w:rsidRPr="00A4024D">
        <w:rPr>
          <w:rFonts w:eastAsia="Calibri"/>
          <w:color w:val="000000"/>
          <w:szCs w:val="28"/>
        </w:rPr>
        <w:t>20</w:t>
      </w:r>
      <w:r w:rsidR="00E03E72" w:rsidRPr="00A4024D">
        <w:rPr>
          <w:rFonts w:eastAsia="Calibri"/>
          <w:color w:val="000000"/>
          <w:szCs w:val="28"/>
        </w:rPr>
        <w:t xml:space="preserve"> года.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 xml:space="preserve">Существенное изменение демографических показателей и основные мероприятия в сфере охраны общественного здоровья и улучшения санитарно-эпидемиологической обстановки в городе в 2020-2021 годах связаны с угрозой распространения новой </w:t>
      </w:r>
      <w:proofErr w:type="spellStart"/>
      <w:r w:rsidRPr="00A4024D">
        <w:rPr>
          <w:color w:val="000000"/>
        </w:rPr>
        <w:t>коронавирусной</w:t>
      </w:r>
      <w:proofErr w:type="spellEnd"/>
      <w:r w:rsidRPr="00A4024D">
        <w:rPr>
          <w:color w:val="000000"/>
        </w:rPr>
        <w:t xml:space="preserve"> инфекции (2019-</w:t>
      </w:r>
      <w:proofErr w:type="spellStart"/>
      <w:r w:rsidRPr="00A4024D">
        <w:rPr>
          <w:color w:val="000000"/>
          <w:lang w:val="en-US"/>
        </w:rPr>
        <w:t>nCov</w:t>
      </w:r>
      <w:proofErr w:type="spellEnd"/>
      <w:r w:rsidRPr="00A4024D">
        <w:rPr>
          <w:color w:val="000000"/>
        </w:rPr>
        <w:t>).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bCs/>
          <w:color w:val="000000"/>
        </w:rPr>
        <w:t xml:space="preserve">Указом Президента Российской Федерации от 21.07.2020 № 474 «О национальных целях развития Российской Федерации на период до 2030 года» </w:t>
      </w:r>
      <w:r w:rsidRPr="00A4024D">
        <w:rPr>
          <w:color w:val="000000"/>
        </w:rPr>
        <w:t>одной из национальных целей развития Российской Федерации определено обеспечение устойчивого роста численности населения и повышение ожидаемой продолжительности жизни до 78 лет.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 xml:space="preserve">Для сдерживания роста смертности в городе проводятся мероприятия по улучшению санитарно-эпидемиологической обстановки. 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 xml:space="preserve">На территории города Липецка специалистами медицинских организаций были реализованы следующие мероприятия: 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- акция «</w:t>
      </w:r>
      <w:proofErr w:type="spellStart"/>
      <w:r w:rsidRPr="00A4024D">
        <w:rPr>
          <w:color w:val="000000"/>
        </w:rPr>
        <w:t>Гастропатруль</w:t>
      </w:r>
      <w:proofErr w:type="spellEnd"/>
      <w:r w:rsidRPr="00A4024D">
        <w:rPr>
          <w:color w:val="000000"/>
        </w:rPr>
        <w:t>» по профилактике заболеваний желудочно-кишечного тракта и пропаганде правильного питания (ТРЦ «Малибу»);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- акции «</w:t>
      </w:r>
      <w:proofErr w:type="spellStart"/>
      <w:r w:rsidRPr="00A4024D">
        <w:rPr>
          <w:color w:val="000000"/>
        </w:rPr>
        <w:t>Кардиодесант</w:t>
      </w:r>
      <w:proofErr w:type="spellEnd"/>
      <w:r w:rsidRPr="00A4024D">
        <w:rPr>
          <w:color w:val="000000"/>
        </w:rPr>
        <w:t xml:space="preserve">», «Пост здоровья», «День здорового сердца» по профилактике </w:t>
      </w:r>
      <w:proofErr w:type="gramStart"/>
      <w:r w:rsidRPr="00A4024D">
        <w:rPr>
          <w:color w:val="000000"/>
        </w:rPr>
        <w:t>сердечно-сосудистых</w:t>
      </w:r>
      <w:proofErr w:type="gramEnd"/>
      <w:r w:rsidRPr="00A4024D">
        <w:rPr>
          <w:color w:val="000000"/>
        </w:rPr>
        <w:t xml:space="preserve"> заболеваний (поликлиники города Липецка, места массового скопления людей, предприятия);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 xml:space="preserve">- «Дни здоровья» по различным тематикам (поликлиники города Липецка); 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 xml:space="preserve">- проекты «Здоровая перемена», «Знаю, действую, живу!», «Молодежь за ЗОЖ!», </w:t>
      </w:r>
      <w:proofErr w:type="spellStart"/>
      <w:r w:rsidRPr="00A4024D">
        <w:rPr>
          <w:color w:val="000000"/>
        </w:rPr>
        <w:t>брейн</w:t>
      </w:r>
      <w:proofErr w:type="spellEnd"/>
      <w:r w:rsidRPr="00A4024D">
        <w:rPr>
          <w:color w:val="000000"/>
        </w:rPr>
        <w:t>-ринг «Я знаю все о ЗОЖ», информационно-образовательная программа «Мульти-азбука здоровья», тематические часы и иные мероприятия в учреждениях образования;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- массовые акции к памятным датам в местах массового скопления людей (парковые зоны, ТРЦ и т.д.) и другие мероприятия.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В 2020 году медицинскими организациями было реализовано 1556 мероприятий с охватом 36862 человека, направленных на популяризацию здорового образа жизни.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lastRenderedPageBreak/>
        <w:t>За 2020 год по сравнению с 2019 годом на 2,6% снизилась общая заболеваемость населения (1453,7 человек на 1 тыс. жителей – 2020 год, 1492,6 человек на 1 тыс. жителей – 2019 год).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 xml:space="preserve">По итогам 2020 года показатель доли граждан, систематически занимающихся физической культурой и спортом – 44,4%, что на 8,2% выше уровня 2019 года. В 2021 году планируется увеличить данный показатель </w:t>
      </w:r>
      <w:r w:rsidRPr="00A4024D">
        <w:rPr>
          <w:bCs/>
          <w:color w:val="000000"/>
        </w:rPr>
        <w:t>до 47%.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Для стимулирования рождения в семьях второго и третьего ребенка, а также повышения статуса многодетной семьи, продлено действие программы материнского капитала до конца 2026 года.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Существенным фактором, оказывающим влияние на демографическую ситуацию, является миграция. В 2020 году, с учетом мер принятых для стабилизации эпидемиологической обстановки, были ограничены международные перелеты и ужесточен эпидемиологический контроль. Вследствие этого миграционная убыль населения в 20</w:t>
      </w:r>
      <w:r w:rsidR="00C10D59" w:rsidRPr="00A4024D">
        <w:rPr>
          <w:color w:val="000000"/>
        </w:rPr>
        <w:t>20</w:t>
      </w:r>
      <w:r w:rsidRPr="00A4024D">
        <w:rPr>
          <w:color w:val="000000"/>
        </w:rPr>
        <w:t xml:space="preserve"> году составила 1688 человек (прибыло 12845 человек, выбыло 14533 человека). 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С учетом реализации мер государственной миграционной политики, направленных на повышение миграционной привлекательности, планируется поддерживать миграционное сальдо, в первую очередь за счет привлечения на постоянное место жительства соотечественников, проживающих за рубежом, квалифицированных иностранных специалистов, перспективной молодежи. Для этого продолжена реализация государственных программ Липецкой области «Развитие рынка труда и содействие занятости населения Липецкой области», «Социальная поддержка граждан, реализация семейно-демографической политики Липецкой области» до 2024 года.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 xml:space="preserve">Достижению целей демографического развития города Липецка будут способствовать рост качества жизни населения, создание комфортной городской среды, формирование благоприятных условий для развития бизнеса. 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Основные механизмы реализации указанных направлений закреплены в региональных проектах: «Содействие занятости женщин – создание условий дошкольного образования для детей в возрасте до трех лет», «Спорт – норма жизни», «Обеспечение устойчивого сокращения непригодного для проживания жилищного фонда», «Формирование комфортной городской среды», в которых муниципалитет принимает участие, а также иных нормативных правовых актах.</w:t>
      </w:r>
    </w:p>
    <w:p w:rsidR="00A247ED" w:rsidRPr="00A4024D" w:rsidRDefault="00A247ED" w:rsidP="00A247ED">
      <w:pPr>
        <w:shd w:val="clear" w:color="auto" w:fill="FFFFFF"/>
        <w:ind w:firstLine="708"/>
        <w:jc w:val="both"/>
        <w:rPr>
          <w:color w:val="000000"/>
        </w:rPr>
      </w:pPr>
      <w:r w:rsidRPr="00A4024D">
        <w:rPr>
          <w:color w:val="000000"/>
        </w:rPr>
        <w:t>Указанные меры позволят в прогнозном периоде сохранить численность постоянного населения города Липецка на уровне свыше 500 тыс. человек.</w:t>
      </w:r>
    </w:p>
    <w:p w:rsidR="00E03E72" w:rsidRPr="00A4024D" w:rsidRDefault="00E03E72" w:rsidP="00E03E72">
      <w:pPr>
        <w:ind w:firstLine="709"/>
        <w:jc w:val="both"/>
      </w:pPr>
      <w:r w:rsidRPr="00A4024D">
        <w:t>Достижение целей демографического развития города Липецка в значительной степени зависит от успешного решения широкого круга задач социально-экономического развития, включая обеспечение стабильного экономического роста и роста качества жизни населения,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улучшение санитарно-эпидемиологической обстановки.</w:t>
      </w:r>
    </w:p>
    <w:p w:rsidR="00E03E72" w:rsidRPr="00A4024D" w:rsidRDefault="004A7849" w:rsidP="00E03E72">
      <w:pPr>
        <w:ind w:firstLine="709"/>
        <w:jc w:val="both"/>
        <w:rPr>
          <w:rFonts w:eastAsia="Calibri"/>
          <w:szCs w:val="28"/>
        </w:rPr>
      </w:pPr>
      <w:r w:rsidRPr="00A4024D">
        <w:rPr>
          <w:szCs w:val="28"/>
        </w:rPr>
        <w:t>Таким образом,</w:t>
      </w:r>
      <w:r w:rsidR="00E03E72" w:rsidRPr="00A4024D">
        <w:rPr>
          <w:szCs w:val="28"/>
        </w:rPr>
        <w:t xml:space="preserve"> к 202</w:t>
      </w:r>
      <w:r w:rsidR="00A9162E" w:rsidRPr="00A4024D">
        <w:rPr>
          <w:szCs w:val="28"/>
        </w:rPr>
        <w:t>7</w:t>
      </w:r>
      <w:r w:rsidR="00E03E72" w:rsidRPr="00A4024D">
        <w:rPr>
          <w:szCs w:val="28"/>
        </w:rPr>
        <w:t xml:space="preserve"> году показатель численности населения города Липецка по 1 варианту</w:t>
      </w:r>
      <w:r w:rsidR="00646342" w:rsidRPr="00A4024D">
        <w:rPr>
          <w:szCs w:val="28"/>
        </w:rPr>
        <w:t xml:space="preserve"> (базовому)</w:t>
      </w:r>
      <w:r w:rsidRPr="00A4024D">
        <w:rPr>
          <w:szCs w:val="28"/>
        </w:rPr>
        <w:t xml:space="preserve"> прогнозируется на уровне 501170 человек</w:t>
      </w:r>
      <w:r w:rsidR="00E03E72" w:rsidRPr="00A4024D">
        <w:rPr>
          <w:szCs w:val="28"/>
        </w:rPr>
        <w:t xml:space="preserve">, </w:t>
      </w:r>
      <w:r w:rsidR="00C10D59" w:rsidRPr="00A4024D">
        <w:rPr>
          <w:szCs w:val="28"/>
        </w:rPr>
        <w:t>по 2 варианту</w:t>
      </w:r>
      <w:r w:rsidR="00646342" w:rsidRPr="00A4024D">
        <w:rPr>
          <w:szCs w:val="28"/>
        </w:rPr>
        <w:t xml:space="preserve"> (консервативному)</w:t>
      </w:r>
      <w:r w:rsidR="00C10D59" w:rsidRPr="00A4024D">
        <w:rPr>
          <w:szCs w:val="28"/>
        </w:rPr>
        <w:t xml:space="preserve"> –</w:t>
      </w:r>
      <w:r w:rsidR="00646342" w:rsidRPr="00A4024D">
        <w:rPr>
          <w:szCs w:val="28"/>
        </w:rPr>
        <w:t xml:space="preserve"> </w:t>
      </w:r>
      <w:r w:rsidR="00E03E72" w:rsidRPr="00A4024D">
        <w:rPr>
          <w:szCs w:val="28"/>
        </w:rPr>
        <w:t>5</w:t>
      </w:r>
      <w:r w:rsidR="00A4024D" w:rsidRPr="00A4024D">
        <w:rPr>
          <w:szCs w:val="28"/>
        </w:rPr>
        <w:t>00419</w:t>
      </w:r>
      <w:r w:rsidR="00C10D59" w:rsidRPr="00A4024D">
        <w:rPr>
          <w:szCs w:val="28"/>
        </w:rPr>
        <w:t xml:space="preserve"> </w:t>
      </w:r>
      <w:r w:rsidR="00E03E72" w:rsidRPr="00A4024D">
        <w:rPr>
          <w:szCs w:val="28"/>
        </w:rPr>
        <w:t>человек.</w:t>
      </w:r>
    </w:p>
    <w:p w:rsidR="00E03E72" w:rsidRPr="00A4024D" w:rsidRDefault="00E03E72" w:rsidP="00E03E72">
      <w:pPr>
        <w:ind w:firstLine="709"/>
        <w:jc w:val="both"/>
        <w:rPr>
          <w:color w:val="000000"/>
          <w:szCs w:val="28"/>
        </w:rPr>
      </w:pPr>
      <w:r w:rsidRPr="00A4024D">
        <w:rPr>
          <w:color w:val="000000"/>
          <w:szCs w:val="28"/>
        </w:rPr>
        <w:lastRenderedPageBreak/>
        <w:t>Основные показатели демографической ситуации в городе Липецке по отчету за 20</w:t>
      </w:r>
      <w:r w:rsidR="00844DAB" w:rsidRPr="00A4024D">
        <w:rPr>
          <w:color w:val="000000"/>
          <w:szCs w:val="28"/>
        </w:rPr>
        <w:t>20</w:t>
      </w:r>
      <w:r w:rsidRPr="00A4024D">
        <w:rPr>
          <w:color w:val="000000"/>
          <w:szCs w:val="28"/>
        </w:rPr>
        <w:t xml:space="preserve"> год, оценке на 20</w:t>
      </w:r>
      <w:r w:rsidR="00844DAB" w:rsidRPr="00A4024D">
        <w:rPr>
          <w:color w:val="000000"/>
          <w:szCs w:val="28"/>
        </w:rPr>
        <w:t>21</w:t>
      </w:r>
      <w:r w:rsidRPr="00A4024D">
        <w:rPr>
          <w:color w:val="000000"/>
          <w:szCs w:val="28"/>
        </w:rPr>
        <w:t xml:space="preserve"> год и прогноз на 20</w:t>
      </w:r>
      <w:r w:rsidR="00844DAB" w:rsidRPr="00A4024D">
        <w:rPr>
          <w:color w:val="000000"/>
          <w:szCs w:val="28"/>
        </w:rPr>
        <w:t>22</w:t>
      </w:r>
      <w:r w:rsidRPr="00A4024D">
        <w:rPr>
          <w:color w:val="000000"/>
          <w:szCs w:val="28"/>
        </w:rPr>
        <w:t>–202</w:t>
      </w:r>
      <w:r w:rsidR="00844DAB" w:rsidRPr="00A4024D">
        <w:rPr>
          <w:color w:val="000000"/>
          <w:szCs w:val="28"/>
        </w:rPr>
        <w:t>7</w:t>
      </w:r>
      <w:r w:rsidRPr="00A4024D">
        <w:rPr>
          <w:color w:val="000000"/>
          <w:szCs w:val="28"/>
        </w:rPr>
        <w:t xml:space="preserve"> годы представлены в таблице 2.1.</w:t>
      </w:r>
    </w:p>
    <w:p w:rsidR="00E03E72" w:rsidRPr="00A4024D" w:rsidRDefault="00E03E72" w:rsidP="00E03E72">
      <w:pPr>
        <w:ind w:left="8080" w:firstLine="363"/>
        <w:jc w:val="center"/>
        <w:rPr>
          <w:szCs w:val="28"/>
        </w:rPr>
      </w:pPr>
      <w:r w:rsidRPr="00A4024D">
        <w:rPr>
          <w:szCs w:val="28"/>
        </w:rPr>
        <w:t>Таблица 2.1</w:t>
      </w:r>
    </w:p>
    <w:p w:rsidR="00E03E72" w:rsidRPr="00A4024D" w:rsidRDefault="00E03E72" w:rsidP="00E03E72">
      <w:pPr>
        <w:keepNext/>
        <w:jc w:val="center"/>
        <w:outlineLvl w:val="0"/>
        <w:rPr>
          <w:szCs w:val="28"/>
        </w:rPr>
      </w:pPr>
    </w:p>
    <w:p w:rsidR="00E03E72" w:rsidRPr="00A4024D" w:rsidRDefault="00E03E72" w:rsidP="00E03E72">
      <w:pPr>
        <w:keepNext/>
        <w:jc w:val="center"/>
        <w:outlineLvl w:val="0"/>
        <w:rPr>
          <w:b/>
          <w:szCs w:val="28"/>
        </w:rPr>
      </w:pPr>
      <w:r w:rsidRPr="00A4024D">
        <w:rPr>
          <w:b/>
          <w:szCs w:val="28"/>
        </w:rPr>
        <w:t>Основные показатели демографической ситуации</w:t>
      </w:r>
    </w:p>
    <w:p w:rsidR="00E03E72" w:rsidRPr="00A4024D" w:rsidRDefault="00E03E72" w:rsidP="00E03E72">
      <w:pPr>
        <w:keepNext/>
        <w:jc w:val="center"/>
        <w:outlineLvl w:val="0"/>
        <w:rPr>
          <w:b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26"/>
        <w:gridCol w:w="69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3E72" w:rsidRPr="00A4024D" w:rsidTr="004C4B52">
        <w:trPr>
          <w:trHeight w:val="29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8"/>
                <w:szCs w:val="18"/>
              </w:rPr>
              <w:t>показателя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5C6E6C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</w:t>
            </w:r>
            <w:r w:rsidR="005C6E6C" w:rsidRPr="00A4024D">
              <w:rPr>
                <w:sz w:val="16"/>
                <w:szCs w:val="16"/>
              </w:rPr>
              <w:t xml:space="preserve">20 </w:t>
            </w:r>
            <w:r w:rsidRPr="00A4024D">
              <w:rPr>
                <w:sz w:val="16"/>
                <w:szCs w:val="16"/>
              </w:rPr>
              <w:t>год (факт)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</w:t>
            </w:r>
            <w:r w:rsidR="005C6E6C" w:rsidRPr="00A4024D">
              <w:rPr>
                <w:sz w:val="16"/>
                <w:szCs w:val="16"/>
              </w:rPr>
              <w:t>21</w:t>
            </w:r>
          </w:p>
          <w:p w:rsidR="00E03E72" w:rsidRPr="00A4024D" w:rsidRDefault="00E03E72" w:rsidP="00220EB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год (оценка)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</w:t>
            </w:r>
            <w:r w:rsidR="005C6E6C" w:rsidRPr="00A4024D">
              <w:rPr>
                <w:sz w:val="16"/>
                <w:szCs w:val="16"/>
              </w:rPr>
              <w:t>22</w:t>
            </w:r>
            <w:r w:rsidRPr="00A4024D">
              <w:rPr>
                <w:sz w:val="16"/>
                <w:szCs w:val="16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202</w:t>
            </w:r>
            <w:r w:rsidR="005C6E6C" w:rsidRPr="00A4024D">
              <w:rPr>
                <w:sz w:val="16"/>
                <w:szCs w:val="16"/>
              </w:rPr>
              <w:t>3</w:t>
            </w:r>
            <w:r w:rsidRPr="00A4024D">
              <w:rPr>
                <w:sz w:val="16"/>
                <w:szCs w:val="16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202</w:t>
            </w:r>
            <w:r w:rsidR="005C6E6C" w:rsidRPr="00A4024D">
              <w:rPr>
                <w:sz w:val="16"/>
                <w:szCs w:val="16"/>
              </w:rPr>
              <w:t>4</w:t>
            </w:r>
            <w:r w:rsidRPr="00A4024D">
              <w:rPr>
                <w:sz w:val="16"/>
                <w:szCs w:val="16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202</w:t>
            </w:r>
            <w:r w:rsidR="005C6E6C" w:rsidRPr="00A4024D">
              <w:rPr>
                <w:sz w:val="16"/>
                <w:szCs w:val="16"/>
              </w:rPr>
              <w:t>5</w:t>
            </w:r>
            <w:r w:rsidRPr="00A4024D">
              <w:rPr>
                <w:sz w:val="16"/>
                <w:szCs w:val="16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202</w:t>
            </w:r>
            <w:r w:rsidR="005C6E6C" w:rsidRPr="00A4024D">
              <w:rPr>
                <w:sz w:val="16"/>
                <w:szCs w:val="16"/>
              </w:rPr>
              <w:t>6</w:t>
            </w:r>
            <w:r w:rsidRPr="00A4024D">
              <w:rPr>
                <w:sz w:val="16"/>
                <w:szCs w:val="16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202</w:t>
            </w:r>
            <w:r w:rsidR="005C6E6C" w:rsidRPr="00A4024D">
              <w:rPr>
                <w:sz w:val="16"/>
                <w:szCs w:val="16"/>
              </w:rPr>
              <w:t>7</w:t>
            </w:r>
            <w:r w:rsidRPr="00A4024D">
              <w:rPr>
                <w:sz w:val="16"/>
                <w:szCs w:val="16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прогноз</w:t>
            </w:r>
          </w:p>
        </w:tc>
      </w:tr>
      <w:tr w:rsidR="00E03E72" w:rsidRPr="00A4024D" w:rsidTr="004C4B52">
        <w:trPr>
          <w:trHeight w:val="30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7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9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</w:tr>
      <w:tr w:rsidR="00E03E72" w:rsidRPr="00A4024D" w:rsidTr="00220EBF">
        <w:trPr>
          <w:jc w:val="center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Численность постоянного населения (на конец года)</w:t>
            </w:r>
          </w:p>
        </w:tc>
      </w:tr>
      <w:tr w:rsidR="00E03E72" w:rsidRPr="00A4024D" w:rsidTr="004C4B52">
        <w:trPr>
          <w:trHeight w:val="2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503216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</w:t>
            </w:r>
            <w:r w:rsidR="004A7849" w:rsidRPr="00A4024D">
              <w:rPr>
                <w:sz w:val="15"/>
                <w:szCs w:val="15"/>
              </w:rPr>
              <w:t>00</w:t>
            </w:r>
            <w:r w:rsidR="00433912">
              <w:rPr>
                <w:sz w:val="15"/>
                <w:szCs w:val="15"/>
              </w:rPr>
              <w:t>0</w:t>
            </w:r>
            <w:r w:rsidR="004A7849" w:rsidRPr="00A4024D"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</w:t>
            </w:r>
            <w:r w:rsidR="004A7849" w:rsidRPr="00A4024D">
              <w:rPr>
                <w:sz w:val="15"/>
                <w:szCs w:val="15"/>
              </w:rPr>
              <w:t>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500419</w:t>
            </w:r>
          </w:p>
        </w:tc>
      </w:tr>
      <w:tr w:rsidR="00E03E72" w:rsidRPr="00A4024D" w:rsidTr="004C4B5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00"/>
                <w:sz w:val="16"/>
                <w:szCs w:val="16"/>
              </w:rPr>
            </w:pPr>
            <w:proofErr w:type="gramStart"/>
            <w:r w:rsidRPr="00A4024D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A4024D">
              <w:rPr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A4024D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A4024D">
              <w:rPr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98,9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7" w:right="-109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</w:t>
            </w:r>
            <w:r w:rsidR="004A7849" w:rsidRPr="00A4024D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713F68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713F68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100,1</w:t>
            </w:r>
          </w:p>
        </w:tc>
      </w:tr>
      <w:tr w:rsidR="00E03E72" w:rsidRPr="00A4024D" w:rsidTr="00220EBF">
        <w:trPr>
          <w:trHeight w:val="273"/>
          <w:jc w:val="center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ind w:right="-107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Естественный прирост</w:t>
            </w:r>
            <w:proofErr w:type="gramStart"/>
            <w:r w:rsidRPr="00A4024D">
              <w:rPr>
                <w:sz w:val="22"/>
                <w:szCs w:val="22"/>
              </w:rPr>
              <w:t xml:space="preserve"> (+), </w:t>
            </w:r>
            <w:proofErr w:type="gramEnd"/>
            <w:r w:rsidRPr="00A4024D">
              <w:rPr>
                <w:sz w:val="22"/>
                <w:szCs w:val="22"/>
              </w:rPr>
              <w:t>убыль (-)</w:t>
            </w:r>
          </w:p>
        </w:tc>
      </w:tr>
      <w:tr w:rsidR="00E03E72" w:rsidRPr="00A4024D" w:rsidTr="004C4B52">
        <w:trPr>
          <w:trHeight w:val="3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чел.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5C6E6C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</w:t>
            </w:r>
            <w:r w:rsidR="005C6E6C" w:rsidRPr="00A4024D">
              <w:rPr>
                <w:sz w:val="15"/>
                <w:szCs w:val="15"/>
              </w:rPr>
              <w:t>3669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-3697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-3714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-3714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7" w:right="-109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-3485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-3485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</w:t>
            </w:r>
            <w:r w:rsidR="004A7849" w:rsidRPr="00A4024D">
              <w:rPr>
                <w:sz w:val="15"/>
                <w:szCs w:val="15"/>
              </w:rPr>
              <w:t>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</w:t>
            </w:r>
            <w:r w:rsidR="004A7849" w:rsidRPr="00A4024D">
              <w:rPr>
                <w:sz w:val="15"/>
                <w:szCs w:val="15"/>
              </w:rPr>
              <w:t>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right="-108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</w:t>
            </w:r>
            <w:r w:rsidR="004A7849" w:rsidRPr="00A4024D">
              <w:rPr>
                <w:sz w:val="15"/>
                <w:szCs w:val="15"/>
              </w:rPr>
              <w:t>2882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</w:t>
            </w:r>
            <w:r w:rsidR="004A7849" w:rsidRPr="00A4024D">
              <w:rPr>
                <w:sz w:val="15"/>
                <w:szCs w:val="15"/>
              </w:rPr>
              <w:t>2496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-2</w:t>
            </w:r>
            <w:r w:rsidR="004A7849" w:rsidRPr="00A4024D">
              <w:rPr>
                <w:sz w:val="15"/>
                <w:szCs w:val="15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-2194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4A7849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-</w:t>
            </w:r>
            <w:r w:rsidR="004A7849" w:rsidRPr="00A4024D">
              <w:rPr>
                <w:sz w:val="15"/>
                <w:szCs w:val="15"/>
              </w:rPr>
              <w:t>2348</w:t>
            </w:r>
          </w:p>
        </w:tc>
      </w:tr>
      <w:tr w:rsidR="00E03E72" w:rsidRPr="00A4024D" w:rsidTr="00220EBF">
        <w:trPr>
          <w:jc w:val="center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ind w:right="-108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Миграционный прирост</w:t>
            </w:r>
            <w:proofErr w:type="gramStart"/>
            <w:r w:rsidRPr="00A4024D">
              <w:rPr>
                <w:sz w:val="22"/>
                <w:szCs w:val="22"/>
              </w:rPr>
              <w:t xml:space="preserve"> (+), </w:t>
            </w:r>
            <w:proofErr w:type="gramEnd"/>
            <w:r w:rsidRPr="00A4024D">
              <w:rPr>
                <w:sz w:val="22"/>
                <w:szCs w:val="22"/>
              </w:rPr>
              <w:t>убыль (-)</w:t>
            </w:r>
          </w:p>
        </w:tc>
      </w:tr>
      <w:tr w:rsidR="00E03E72" w:rsidRPr="00A4024D" w:rsidTr="004C4B52">
        <w:trPr>
          <w:trHeight w:val="34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чел.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-1688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2600</w:t>
            </w:r>
          </w:p>
        </w:tc>
      </w:tr>
      <w:tr w:rsidR="00E03E72" w:rsidRPr="00A4024D" w:rsidTr="004C4B5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-321,1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5C6E6C">
            <w:pPr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C6E6C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C4B5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4A784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96,3</w:t>
            </w:r>
          </w:p>
        </w:tc>
      </w:tr>
    </w:tbl>
    <w:p w:rsidR="009B35C7" w:rsidRPr="00A4024D" w:rsidRDefault="009B35C7" w:rsidP="00E03E72">
      <w:pPr>
        <w:keepNext/>
        <w:jc w:val="center"/>
        <w:outlineLvl w:val="0"/>
        <w:rPr>
          <w:b/>
          <w:szCs w:val="28"/>
          <w:lang w:val="en-US"/>
        </w:rPr>
      </w:pPr>
    </w:p>
    <w:p w:rsidR="009B35C7" w:rsidRPr="00A4024D" w:rsidRDefault="009B35C7" w:rsidP="00E03E72">
      <w:pPr>
        <w:keepNext/>
        <w:jc w:val="center"/>
        <w:outlineLvl w:val="0"/>
        <w:rPr>
          <w:b/>
          <w:szCs w:val="28"/>
          <w:lang w:val="en-US"/>
        </w:rPr>
      </w:pPr>
    </w:p>
    <w:p w:rsidR="00E03E72" w:rsidRPr="00A4024D" w:rsidRDefault="00E03E72" w:rsidP="00E03E72">
      <w:pPr>
        <w:pStyle w:val="a3"/>
        <w:ind w:firstLine="709"/>
        <w:outlineLvl w:val="0"/>
        <w:rPr>
          <w:b/>
        </w:rPr>
      </w:pPr>
      <w:r w:rsidRPr="00A4024D">
        <w:rPr>
          <w:b/>
        </w:rPr>
        <w:t>3. Уровень жизни населения</w:t>
      </w:r>
    </w:p>
    <w:p w:rsidR="00E03E72" w:rsidRPr="00A4024D" w:rsidRDefault="00E03E72" w:rsidP="00E03E72">
      <w:pPr>
        <w:ind w:firstLine="708"/>
        <w:jc w:val="both"/>
        <w:rPr>
          <w:szCs w:val="28"/>
        </w:rPr>
      </w:pP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Занятость и доходы населения – это главные составляющие, характеризующие уровень жизни, повышение которого является одной из важнейших социальных задач.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Заработная плата является основным источником доходов населения. За 2020 год среднемесячная заработная плата крупных и средних организаций города Липецка выросла на 5%, ее размер составил 46014 рублей. Наиболее высокие заработные платы у работников предприятий промышленности (обрабатывающие производства), научной и финансовой сфер, наименьшие – у специалистов в области обслуживания гостиниц и ресторанов.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В 2020 году по отношению к 2019 году наибольшее увеличение размера среднемесячной номинальной начисленной заработной платы работников наблюдается в следующих сферах: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- транспортировки и хранения – на 15,4%;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- строительства – на 13,1%;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- гостиниц и предприятий общественного питания – на 9,8%.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Увеличение заработной платы наблюдается и в муниципальных учреждениях: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- дошкольных образовательных учреждений – на 9,5% и составила 23296 рублей;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- общеобразовательных учреждений – на 10,7% и составила 30984 рубля;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- культуры и искусства – на 4,3% и составила 34201 рубль.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Еще одним из факторов, способствующим положительной динамике заработной платы, можно считать увеличение с 1 января 2021 года минимального </w:t>
      </w:r>
      <w:proofErr w:type="gramStart"/>
      <w:r w:rsidRPr="00A4024D">
        <w:rPr>
          <w:szCs w:val="28"/>
        </w:rPr>
        <w:lastRenderedPageBreak/>
        <w:t>размера оплаты труда</w:t>
      </w:r>
      <w:proofErr w:type="gramEnd"/>
      <w:r w:rsidRPr="00A4024D">
        <w:rPr>
          <w:szCs w:val="28"/>
        </w:rPr>
        <w:t xml:space="preserve"> с 12130 до 12890 рублей и прожиточного минимума на 8,5% (с 9169 до 9945 рублей).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По оценочным данным в 2021 году среднемесячная номинальная начисленная заработная плата работников крупных и средних организаций города Липецка составит 48728,5 рублей или 105,9% к 2020 году</w:t>
      </w:r>
      <w:r w:rsidR="00A4024D" w:rsidRPr="00A4024D">
        <w:rPr>
          <w:szCs w:val="28"/>
        </w:rPr>
        <w:t>.</w:t>
      </w:r>
      <w:r w:rsidRPr="00A4024D">
        <w:rPr>
          <w:szCs w:val="28"/>
        </w:rPr>
        <w:t xml:space="preserve"> 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Влияние на фонд оплаты труда окажет создание высокопроизводительных рабочих мест и реализация мероприятий по повышению заработной платы в бюджетном секторе в соответствии с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В 2020 году фонд начисленной заработной платы работников крупных и средних организаций города Липецка составил 72171,6 млн. рублей с темпом роста 105,1% к 2019 году.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A4024D">
        <w:rPr>
          <w:szCs w:val="28"/>
        </w:rPr>
        <w:t>По оценочным данным фонд заработной платы крупных и средних организаций города Липецка в 2021 году составит 76718,4 млн. рублей или 106,3% к 2020 году</w:t>
      </w:r>
      <w:r w:rsidR="00A4024D" w:rsidRPr="00A4024D">
        <w:rPr>
          <w:szCs w:val="28"/>
        </w:rPr>
        <w:t>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Среднесписочная численность работников крупных и средних предприятий города Липецка в 2021 году составит 131621 человек или 100,7% к 2020 году</w:t>
      </w:r>
      <w:r w:rsidR="00A4024D" w:rsidRPr="00A4024D">
        <w:rPr>
          <w:szCs w:val="28"/>
        </w:rPr>
        <w:t>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Одним из главных инструментов реализации социального партнерства являются коллективно-договорные отношения, направленные на выполнение требований трудового законодательства и обеспечение социальных и трудовых гарантий работников.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 xml:space="preserve">По состоянию на 01.01.2021 </w:t>
      </w:r>
      <w:proofErr w:type="gramStart"/>
      <w:r w:rsidRPr="00A4024D">
        <w:rPr>
          <w:bCs/>
          <w:szCs w:val="28"/>
        </w:rPr>
        <w:t>коллективно-договорной</w:t>
      </w:r>
      <w:proofErr w:type="gramEnd"/>
      <w:r w:rsidRPr="00A4024D">
        <w:rPr>
          <w:bCs/>
          <w:szCs w:val="28"/>
        </w:rPr>
        <w:t xml:space="preserve"> способ регулирования трудовых отношений, направленный на выполнение требований трудового законодательства и обеспечения социальных и трудовых гарантий работников, используется в 520 трудовых коллективах города Липецка, охвачено 132,7 тыс. человек (65,8% от общего числа работающих в городе Липецке).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В 2020 году среднесписочная численность работников крупных и средних организаций города Липецка (без внешних совместителей) составила 130707 человек или 100% к 2019 году.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В 2020 году на рынок труда и занятость населения существенное влияние оказала ситуация, связанная с угрозой распространения новой </w:t>
      </w:r>
      <w:proofErr w:type="spellStart"/>
      <w:r w:rsidRPr="00A4024D">
        <w:rPr>
          <w:szCs w:val="28"/>
        </w:rPr>
        <w:t>коронавирусной</w:t>
      </w:r>
      <w:proofErr w:type="spellEnd"/>
      <w:r w:rsidRPr="00A4024D">
        <w:rPr>
          <w:szCs w:val="28"/>
        </w:rPr>
        <w:t xml:space="preserve"> инфекции (2019-</w:t>
      </w:r>
      <w:proofErr w:type="spellStart"/>
      <w:r w:rsidRPr="00A4024D">
        <w:rPr>
          <w:szCs w:val="28"/>
          <w:lang w:val="en-US"/>
        </w:rPr>
        <w:t>nCov</w:t>
      </w:r>
      <w:proofErr w:type="spellEnd"/>
      <w:r w:rsidRPr="00A4024D">
        <w:rPr>
          <w:szCs w:val="28"/>
        </w:rPr>
        <w:t xml:space="preserve">) и введенными ограничительными мерами. Это привело большинство предприятий к переходу на дистанционный режим работы, а также к введению режима неполного рабочего времени, что повлекло за собой снижение граждан принятых на работу работников и, как следствие, рост числа безработных граждан.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Численность официально зарегистрированных безработных граждан по состоянию на 01.01.2021 составила 3,2 тыс. человек, что в 3,7 раз больше, чем на соответствующую дату предшествующего года. Уровень регистрируемой безработицы в городе Липецке составил 1,16%. Всего с января по декабрь 2020 года статус безработного получили около 9,4 тыс. граждан.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Одной из мер по содействию занятости населения является реализация мероприятий по переобучению безработных граждан. На профессиональное обучение направлено более 400 человек, которые получили дополнительную </w:t>
      </w:r>
      <w:r w:rsidRPr="00A4024D">
        <w:rPr>
          <w:szCs w:val="28"/>
        </w:rPr>
        <w:lastRenderedPageBreak/>
        <w:t xml:space="preserve">профессию или повысили имеющуюся квалификацию. Профессиональное обучение осуществлялось по 32 специальностям и профессиям, таким как бухгалтерский учет и налогообложение, сестринское дело, парикмахер, электромонтер, кондитер и другие.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94 безработных граждан организовали предпринимательскую деятельность. Основными направлениями развития бизнеса являлись: оказание жилищно-коммунальных, бытовых, образовательных услуг, производство и переработка сельскохозяйственной продукции, общественное питание, транспортная деятельность. 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По состоянию на 01.07.2020 численность безработных в городе Липецке составила 1230 человек, что на 75,7% (или 3847 человек) меньше, чем на 01.07.2020. Уровень безработицы – 0,45%. Коэффициент напряженности на рынке труда – 0,27 человек на 1 вакансию.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A4024D">
        <w:rPr>
          <w:szCs w:val="28"/>
        </w:rPr>
        <w:t>Рост численности населения в трудоспособном возрасте, в результате вступления в действие с 01.01.2019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пенсий», не приведет к дисбалансу спроса и предложения рабочей силы, так как будет происходить с одновременным принятием мер по переобучению, повышению квалификации работников предприятий в рамках реализации регионального</w:t>
      </w:r>
      <w:proofErr w:type="gramEnd"/>
      <w:r w:rsidRPr="00A4024D">
        <w:rPr>
          <w:szCs w:val="28"/>
        </w:rPr>
        <w:t xml:space="preserve"> проекта «Поддержка занятости и повышение эффективности рынка труда для обеспечения роста производительности труда» и по профессиональному обучению граждан </w:t>
      </w:r>
      <w:proofErr w:type="spellStart"/>
      <w:r w:rsidRPr="00A4024D">
        <w:rPr>
          <w:szCs w:val="28"/>
        </w:rPr>
        <w:t>предпенсионного</w:t>
      </w:r>
      <w:proofErr w:type="spellEnd"/>
      <w:r w:rsidRPr="00A4024D">
        <w:rPr>
          <w:szCs w:val="28"/>
        </w:rPr>
        <w:t xml:space="preserve"> возраста в рамках реализации регионального проекта «Разработка и реализация программы системной поддержки и повышения качества жизни граждан старшего поколения (Старшее поколение)». </w:t>
      </w:r>
    </w:p>
    <w:p w:rsidR="00646342" w:rsidRPr="00A4024D" w:rsidRDefault="00646342" w:rsidP="0064634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Сохранить баланс трудовых ресурсов в прогнозном периоде предполагается также за счет легализации трудовых отношений работающих граждан и иностранных трудовых мигрантов. Для этого продолжена реализация государственных программ Липецкой области «Развитие рынка труда и содействие занятости населения Липецкой области», «Социальная поддержка граждан, реализация семейно-демографической политики Липецкой области» до 2024 года.</w:t>
      </w:r>
    </w:p>
    <w:p w:rsidR="00E03E72" w:rsidRPr="00A4024D" w:rsidRDefault="00E03E72" w:rsidP="00E03E7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В 202</w:t>
      </w:r>
      <w:r w:rsidR="001B0CC4" w:rsidRPr="00A4024D">
        <w:rPr>
          <w:szCs w:val="28"/>
        </w:rPr>
        <w:t>7</w:t>
      </w:r>
      <w:r w:rsidRPr="00A4024D">
        <w:rPr>
          <w:szCs w:val="28"/>
        </w:rPr>
        <w:t xml:space="preserve"> году среднесписочная численность работников крупных и средних организаций по 1 варианту </w:t>
      </w:r>
      <w:r w:rsidR="00646342" w:rsidRPr="00A4024D">
        <w:rPr>
          <w:szCs w:val="28"/>
        </w:rPr>
        <w:t xml:space="preserve">(базовому) </w:t>
      </w:r>
      <w:r w:rsidRPr="00A4024D">
        <w:rPr>
          <w:szCs w:val="28"/>
        </w:rPr>
        <w:t>составит 133</w:t>
      </w:r>
      <w:r w:rsidR="001B0CC4" w:rsidRPr="00A4024D">
        <w:rPr>
          <w:szCs w:val="28"/>
        </w:rPr>
        <w:t>032</w:t>
      </w:r>
      <w:r w:rsidRPr="00A4024D">
        <w:rPr>
          <w:szCs w:val="28"/>
        </w:rPr>
        <w:t xml:space="preserve"> человек</w:t>
      </w:r>
      <w:r w:rsidR="001B0CC4" w:rsidRPr="00A4024D">
        <w:rPr>
          <w:szCs w:val="28"/>
        </w:rPr>
        <w:t>а</w:t>
      </w:r>
      <w:r w:rsidRPr="00A4024D">
        <w:rPr>
          <w:szCs w:val="28"/>
        </w:rPr>
        <w:t xml:space="preserve">, по 2 варианту </w:t>
      </w:r>
      <w:r w:rsidR="00646342" w:rsidRPr="00A4024D">
        <w:rPr>
          <w:szCs w:val="28"/>
        </w:rPr>
        <w:t xml:space="preserve">(консервативному) </w:t>
      </w:r>
      <w:r w:rsidRPr="00A4024D">
        <w:rPr>
          <w:szCs w:val="28"/>
        </w:rPr>
        <w:t xml:space="preserve">– </w:t>
      </w:r>
      <w:r w:rsidR="001B0CC4" w:rsidRPr="00A4024D">
        <w:rPr>
          <w:szCs w:val="28"/>
        </w:rPr>
        <w:t>132282</w:t>
      </w:r>
      <w:r w:rsidRPr="00A4024D">
        <w:rPr>
          <w:szCs w:val="28"/>
        </w:rPr>
        <w:t xml:space="preserve"> человек</w:t>
      </w:r>
      <w:r w:rsidR="001B0CC4" w:rsidRPr="00A4024D">
        <w:rPr>
          <w:szCs w:val="28"/>
        </w:rPr>
        <w:t>а</w:t>
      </w:r>
      <w:r w:rsidRPr="00A4024D">
        <w:rPr>
          <w:szCs w:val="28"/>
        </w:rPr>
        <w:t>.</w:t>
      </w:r>
    </w:p>
    <w:p w:rsidR="001B0CC4" w:rsidRPr="00A4024D" w:rsidRDefault="001B0CC4" w:rsidP="00E03E7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Прогнозируется увеличение среднемесячной заработной платы </w:t>
      </w:r>
      <w:r w:rsidR="00646342" w:rsidRPr="00A4024D">
        <w:rPr>
          <w:szCs w:val="28"/>
        </w:rPr>
        <w:t xml:space="preserve">к 2027 года </w:t>
      </w:r>
      <w:r w:rsidRPr="00A4024D">
        <w:rPr>
          <w:szCs w:val="28"/>
        </w:rPr>
        <w:t xml:space="preserve"> по 1 варианту </w:t>
      </w:r>
      <w:r w:rsidR="00646342" w:rsidRPr="00A4024D">
        <w:rPr>
          <w:szCs w:val="28"/>
        </w:rPr>
        <w:t>(базовому) до 70251,3 рублей, по второму варианту (консервативному) – 68946,3 рублей.</w:t>
      </w:r>
    </w:p>
    <w:p w:rsidR="00E03E72" w:rsidRPr="00A4024D" w:rsidRDefault="00E03E72" w:rsidP="00E03E72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Показатели среднемесячной заработной платы, среднесписочной численности работников, фонда заработной платы всех работников по крупным и средним организациям, уровня зарегистрированной безработицы </w:t>
      </w:r>
      <w:r w:rsidRPr="00A4024D">
        <w:rPr>
          <w:color w:val="000000"/>
          <w:szCs w:val="28"/>
        </w:rPr>
        <w:t xml:space="preserve">в городе </w:t>
      </w:r>
      <w:r w:rsidRPr="00A4024D">
        <w:rPr>
          <w:color w:val="000000"/>
          <w:szCs w:val="28"/>
        </w:rPr>
        <w:lastRenderedPageBreak/>
        <w:t>Липецке по отчету за 20</w:t>
      </w:r>
      <w:r w:rsidR="00763249" w:rsidRPr="00A4024D">
        <w:rPr>
          <w:color w:val="000000"/>
          <w:szCs w:val="28"/>
        </w:rPr>
        <w:t>20</w:t>
      </w:r>
      <w:r w:rsidRPr="00A4024D">
        <w:rPr>
          <w:color w:val="000000"/>
          <w:szCs w:val="28"/>
        </w:rPr>
        <w:t xml:space="preserve"> год, оценке на 20</w:t>
      </w:r>
      <w:r w:rsidR="00763249" w:rsidRPr="00A4024D">
        <w:rPr>
          <w:color w:val="000000"/>
          <w:szCs w:val="28"/>
        </w:rPr>
        <w:t>21</w:t>
      </w:r>
      <w:r w:rsidRPr="00A4024D">
        <w:rPr>
          <w:color w:val="000000"/>
          <w:szCs w:val="28"/>
        </w:rPr>
        <w:t xml:space="preserve"> год и прогноз на 20</w:t>
      </w:r>
      <w:r w:rsidR="00763249" w:rsidRPr="00A4024D">
        <w:rPr>
          <w:color w:val="000000"/>
          <w:szCs w:val="28"/>
        </w:rPr>
        <w:t>22</w:t>
      </w:r>
      <w:r w:rsidRPr="00A4024D">
        <w:rPr>
          <w:color w:val="000000"/>
          <w:szCs w:val="28"/>
        </w:rPr>
        <w:t>–202</w:t>
      </w:r>
      <w:r w:rsidR="00763249" w:rsidRPr="00A4024D">
        <w:rPr>
          <w:color w:val="000000"/>
          <w:szCs w:val="28"/>
        </w:rPr>
        <w:t>7</w:t>
      </w:r>
      <w:r w:rsidRPr="00A4024D">
        <w:rPr>
          <w:color w:val="000000"/>
          <w:szCs w:val="28"/>
        </w:rPr>
        <w:t xml:space="preserve"> годы </w:t>
      </w:r>
      <w:r w:rsidRPr="00A4024D">
        <w:rPr>
          <w:szCs w:val="28"/>
        </w:rPr>
        <w:t>представлены в таблице 3.1.</w:t>
      </w:r>
    </w:p>
    <w:p w:rsidR="00E03E72" w:rsidRPr="00A4024D" w:rsidRDefault="00E03E72" w:rsidP="00E03E72">
      <w:pPr>
        <w:ind w:left="360"/>
        <w:jc w:val="right"/>
        <w:rPr>
          <w:szCs w:val="28"/>
        </w:rPr>
      </w:pPr>
    </w:p>
    <w:p w:rsidR="00E03E72" w:rsidRPr="00A4024D" w:rsidRDefault="00E03E72" w:rsidP="00E03E72">
      <w:pPr>
        <w:ind w:left="360"/>
        <w:jc w:val="right"/>
        <w:rPr>
          <w:szCs w:val="28"/>
        </w:rPr>
      </w:pPr>
      <w:r w:rsidRPr="00A4024D">
        <w:rPr>
          <w:szCs w:val="28"/>
        </w:rPr>
        <w:t>Таблица 3.1</w:t>
      </w:r>
    </w:p>
    <w:p w:rsidR="00E03E72" w:rsidRPr="00A4024D" w:rsidRDefault="00E03E72" w:rsidP="00E03E72">
      <w:pPr>
        <w:ind w:left="360"/>
        <w:jc w:val="center"/>
        <w:rPr>
          <w:b/>
          <w:szCs w:val="28"/>
        </w:rPr>
      </w:pPr>
    </w:p>
    <w:p w:rsidR="00E03E72" w:rsidRPr="00A4024D" w:rsidRDefault="00E03E72" w:rsidP="00E03E72">
      <w:pPr>
        <w:ind w:left="360"/>
        <w:jc w:val="center"/>
        <w:rPr>
          <w:b/>
          <w:szCs w:val="28"/>
        </w:rPr>
      </w:pPr>
      <w:r w:rsidRPr="00A4024D">
        <w:rPr>
          <w:b/>
          <w:szCs w:val="28"/>
        </w:rPr>
        <w:t>Основные показатели уровня жизни населения</w:t>
      </w:r>
    </w:p>
    <w:p w:rsidR="00E03E72" w:rsidRPr="00A4024D" w:rsidRDefault="00E03E72" w:rsidP="00E03E72">
      <w:pPr>
        <w:jc w:val="right"/>
        <w:rPr>
          <w:szCs w:val="28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708"/>
        <w:gridCol w:w="709"/>
        <w:gridCol w:w="637"/>
        <w:gridCol w:w="609"/>
        <w:gridCol w:w="567"/>
        <w:gridCol w:w="622"/>
        <w:gridCol w:w="594"/>
        <w:gridCol w:w="567"/>
        <w:gridCol w:w="622"/>
        <w:gridCol w:w="585"/>
        <w:gridCol w:w="576"/>
        <w:gridCol w:w="684"/>
        <w:gridCol w:w="628"/>
        <w:gridCol w:w="641"/>
      </w:tblGrid>
      <w:tr w:rsidR="00E03E72" w:rsidRPr="00A4024D" w:rsidTr="001B0CC4">
        <w:trPr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20</w:t>
            </w:r>
            <w:r w:rsidRPr="00A4024D">
              <w:rPr>
                <w:sz w:val="18"/>
                <w:szCs w:val="18"/>
              </w:rPr>
              <w:t xml:space="preserve"> год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21</w:t>
            </w:r>
          </w:p>
          <w:p w:rsidR="00E03E72" w:rsidRPr="00A4024D" w:rsidRDefault="00E03E72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год (оценка)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22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1B0CC4">
        <w:trPr>
          <w:trHeight w:val="171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 вар.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2 вар.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2 вар.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1 вар.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2 вар.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 вар.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2 вар.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173" w:right="-114" w:hanging="1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2 вар.</w:t>
            </w:r>
          </w:p>
        </w:tc>
      </w:tr>
      <w:tr w:rsidR="00E03E72" w:rsidRPr="00A4024D" w:rsidTr="001B0CC4">
        <w:trPr>
          <w:trHeight w:val="321"/>
          <w:jc w:val="center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Среднемесячная заработная плата*</w:t>
            </w:r>
          </w:p>
        </w:tc>
      </w:tr>
      <w:tr w:rsidR="00E03E72" w:rsidRPr="00A4024D" w:rsidTr="001B0CC4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46013,7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48728,5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C10D59">
            <w:pPr>
              <w:ind w:left="-173" w:right="-114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 xml:space="preserve"> </w:t>
            </w:r>
            <w:r w:rsidR="00C10D59" w:rsidRPr="00A4024D">
              <w:rPr>
                <w:color w:val="000000"/>
                <w:sz w:val="15"/>
                <w:szCs w:val="15"/>
              </w:rPr>
              <w:t>51700,9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C10D59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51554,8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C10D59">
            <w:pPr>
              <w:ind w:left="-160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 xml:space="preserve"> </w:t>
            </w:r>
            <w:r w:rsidR="00C10D59" w:rsidRPr="00A4024D">
              <w:rPr>
                <w:color w:val="000000"/>
                <w:sz w:val="15"/>
                <w:szCs w:val="15"/>
              </w:rPr>
              <w:t>54906,4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54648,0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58420,4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C10D59">
            <w:pPr>
              <w:ind w:left="-108" w:right="-108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57926,9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62159,3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61402,5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66075,3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65092,8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70251,3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68946,3</w:t>
            </w:r>
          </w:p>
        </w:tc>
      </w:tr>
      <w:tr w:rsidR="00E03E72" w:rsidRPr="00A4024D" w:rsidTr="001B0CC4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60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C10D59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</w:tr>
      <w:tr w:rsidR="00E03E72" w:rsidRPr="00A4024D" w:rsidTr="001B0CC4">
        <w:trPr>
          <w:jc w:val="center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A4024D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A4024D">
              <w:rPr>
                <w:color w:val="000000"/>
                <w:sz w:val="22"/>
                <w:szCs w:val="22"/>
              </w:rPr>
              <w:t>*</w:t>
            </w:r>
          </w:p>
        </w:tc>
      </w:tr>
      <w:tr w:rsidR="00E03E72" w:rsidRPr="00A4024D" w:rsidTr="001B0CC4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0C4DB0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13</w:t>
            </w:r>
            <w:r w:rsidR="000C4DB0" w:rsidRPr="00A4024D">
              <w:rPr>
                <w:sz w:val="15"/>
                <w:szCs w:val="15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0C4DB0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0C4DB0" w:rsidRPr="00A4024D">
              <w:rPr>
                <w:color w:val="000000"/>
                <w:sz w:val="15"/>
                <w:szCs w:val="15"/>
              </w:rPr>
              <w:t>1621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0C4DB0">
            <w:pPr>
              <w:ind w:left="-173" w:right="-114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0C4DB0" w:rsidRPr="00A4024D">
              <w:rPr>
                <w:color w:val="000000"/>
                <w:sz w:val="15"/>
                <w:szCs w:val="15"/>
              </w:rPr>
              <w:t>1655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0C4DB0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0C4DB0" w:rsidRPr="00A4024D">
              <w:rPr>
                <w:color w:val="000000"/>
                <w:sz w:val="15"/>
                <w:szCs w:val="15"/>
              </w:rPr>
              <w:t>1633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1880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1754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2167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1886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2455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2743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2150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133</w:t>
            </w:r>
            <w:r w:rsidR="001B0CC4" w:rsidRPr="00A4024D">
              <w:rPr>
                <w:color w:val="000000"/>
                <w:sz w:val="15"/>
                <w:szCs w:val="15"/>
              </w:rPr>
              <w:t>032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1B0CC4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13</w:t>
            </w:r>
            <w:r w:rsidR="001B0CC4" w:rsidRPr="00A4024D">
              <w:rPr>
                <w:color w:val="000000"/>
                <w:sz w:val="15"/>
                <w:szCs w:val="15"/>
              </w:rPr>
              <w:t>2282</w:t>
            </w:r>
          </w:p>
        </w:tc>
      </w:tr>
      <w:tr w:rsidR="00E03E72" w:rsidRPr="00A4024D" w:rsidTr="001B0CC4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C4DB0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C4DB0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C4DB0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C4DB0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100,1</w:t>
            </w:r>
          </w:p>
        </w:tc>
      </w:tr>
      <w:tr w:rsidR="00E03E72" w:rsidRPr="00A4024D" w:rsidTr="001B0CC4">
        <w:trPr>
          <w:jc w:val="center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</w:tr>
      <w:tr w:rsidR="00E03E72" w:rsidRPr="00A4024D" w:rsidTr="001B0CC4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0,67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0,67</w:t>
            </w:r>
          </w:p>
        </w:tc>
      </w:tr>
      <w:tr w:rsidR="00E03E72" w:rsidRPr="00A4024D" w:rsidTr="001B0CC4">
        <w:trPr>
          <w:jc w:val="center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Фонд начисленной заработной платы*</w:t>
            </w:r>
          </w:p>
        </w:tc>
      </w:tr>
      <w:tr w:rsidR="00E03E72" w:rsidRPr="00A4024D" w:rsidTr="001B0CC4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72177,6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76718,4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73" w:right="-114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81935,3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81244,8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87588,8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86038,2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93632,4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91200,5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100186,7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96763,8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107299,9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102685,7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114918,2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108990,6</w:t>
            </w:r>
          </w:p>
        </w:tc>
      </w:tr>
      <w:tr w:rsidR="00E03E72" w:rsidRPr="00A4024D" w:rsidTr="001B0CC4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ind w:left="-160" w:right="-108"/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105,9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1B0CC4" w:rsidP="00220EBF">
            <w:pPr>
              <w:jc w:val="center"/>
              <w:rPr>
                <w:color w:val="000000"/>
                <w:sz w:val="15"/>
                <w:szCs w:val="15"/>
              </w:rPr>
            </w:pPr>
            <w:r w:rsidRPr="00A4024D">
              <w:rPr>
                <w:color w:val="000000"/>
                <w:sz w:val="15"/>
                <w:szCs w:val="15"/>
              </w:rPr>
              <w:t>106,1</w:t>
            </w:r>
          </w:p>
        </w:tc>
      </w:tr>
    </w:tbl>
    <w:p w:rsidR="00E03E72" w:rsidRPr="00A4024D" w:rsidRDefault="00E03E72" w:rsidP="00E03E72">
      <w:pPr>
        <w:rPr>
          <w:color w:val="000000"/>
          <w:sz w:val="20"/>
        </w:rPr>
      </w:pPr>
    </w:p>
    <w:p w:rsidR="00E03E72" w:rsidRPr="00A4024D" w:rsidRDefault="00E03E72" w:rsidP="00E03E72">
      <w:pPr>
        <w:rPr>
          <w:color w:val="000000"/>
          <w:sz w:val="20"/>
        </w:rPr>
      </w:pPr>
      <w:r w:rsidRPr="00A4024D">
        <w:rPr>
          <w:color w:val="000000"/>
          <w:sz w:val="20"/>
        </w:rPr>
        <w:t>*По крупным и средним организациям</w:t>
      </w:r>
    </w:p>
    <w:p w:rsidR="00E03E72" w:rsidRPr="00A4024D" w:rsidRDefault="00E03E72" w:rsidP="00E03E72">
      <w:pPr>
        <w:ind w:firstLine="709"/>
        <w:jc w:val="both"/>
        <w:rPr>
          <w:szCs w:val="28"/>
          <w:lang w:bidi="ru-RU"/>
        </w:rPr>
      </w:pPr>
    </w:p>
    <w:p w:rsidR="00E03E72" w:rsidRPr="00A4024D" w:rsidRDefault="0044633C" w:rsidP="00E03E72">
      <w:pPr>
        <w:tabs>
          <w:tab w:val="left" w:pos="709"/>
        </w:tabs>
        <w:ind w:left="360"/>
        <w:jc w:val="center"/>
        <w:rPr>
          <w:b/>
        </w:rPr>
      </w:pPr>
      <w:r w:rsidRPr="00A4024D">
        <w:rPr>
          <w:b/>
        </w:rPr>
        <w:t>4</w:t>
      </w:r>
      <w:r w:rsidR="00E03E72" w:rsidRPr="00A4024D">
        <w:rPr>
          <w:b/>
        </w:rPr>
        <w:t>. Потребительский рынок</w:t>
      </w:r>
    </w:p>
    <w:p w:rsidR="00E03E72" w:rsidRPr="00A4024D" w:rsidRDefault="00E03E72" w:rsidP="00E03E72"/>
    <w:p w:rsidR="00E03E72" w:rsidRPr="00A4024D" w:rsidRDefault="00E03E72" w:rsidP="00E03E72">
      <w:pPr>
        <w:ind w:firstLine="709"/>
        <w:jc w:val="both"/>
        <w:rPr>
          <w:szCs w:val="28"/>
        </w:rPr>
      </w:pPr>
      <w:r w:rsidRPr="00A4024D">
        <w:t>Потребительский рынок является одной из важнейших сфер жизнеобеспечения и экономики города и призван обеспечить решение комплекса задач, ориентированных на наиболее полное удовлетворение потребностей населения в услугах торговли, общественного питания и бытового обслуживания.</w:t>
      </w:r>
    </w:p>
    <w:p w:rsidR="00E03E72" w:rsidRPr="00A4024D" w:rsidRDefault="00E03E72" w:rsidP="00E03E72">
      <w:pPr>
        <w:ind w:firstLine="720"/>
        <w:jc w:val="both"/>
      </w:pPr>
      <w:r w:rsidRPr="00A4024D">
        <w:t>Состояние потребительского рынка является одним из важнейших индикаторов социально-экономического благополучия общества.</w:t>
      </w:r>
    </w:p>
    <w:p w:rsidR="00E03E72" w:rsidRPr="00A4024D" w:rsidRDefault="00E03E72" w:rsidP="00E03E72">
      <w:pPr>
        <w:ind w:firstLine="709"/>
        <w:jc w:val="both"/>
        <w:rPr>
          <w:szCs w:val="28"/>
        </w:rPr>
      </w:pPr>
      <w:r w:rsidRPr="00A4024D">
        <w:rPr>
          <w:szCs w:val="28"/>
        </w:rPr>
        <w:t>Об уровне развития потребительского рынка свидетельствуют</w:t>
      </w:r>
      <w:r w:rsidRPr="00A4024D">
        <w:t xml:space="preserve"> показатели </w:t>
      </w:r>
      <w:r w:rsidRPr="00A4024D">
        <w:rPr>
          <w:szCs w:val="28"/>
        </w:rPr>
        <w:t xml:space="preserve">количества объектов отрасли, оборот розничной торговли и общественного питания. 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 xml:space="preserve">В 2020 году распространение новой </w:t>
      </w:r>
      <w:proofErr w:type="spellStart"/>
      <w:r w:rsidRPr="00A4024D">
        <w:t>коронавирусной</w:t>
      </w:r>
      <w:proofErr w:type="spellEnd"/>
      <w:r w:rsidRPr="00A4024D">
        <w:t xml:space="preserve"> инфекции (2019-</w:t>
      </w:r>
      <w:r w:rsidRPr="00A4024D">
        <w:rPr>
          <w:lang w:val="en-US"/>
        </w:rPr>
        <w:t>n</w:t>
      </w:r>
      <w:r w:rsidRPr="00A4024D">
        <w:t>Со</w:t>
      </w:r>
      <w:r w:rsidRPr="00A4024D">
        <w:rPr>
          <w:lang w:val="en-US"/>
        </w:rPr>
        <w:t>V</w:t>
      </w:r>
      <w:r w:rsidRPr="00A4024D">
        <w:t>), ограничительные меры и введенный режим самоизоляции, оказали существенное влияние на потребительский рынок.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>Ожидается, что организациям сферы потребительского рынка удастся оптимизировать работу в условиях ограничительных мероприятий путем продвижения услуг доставок продукции на дом, эффективной работы волонтерских групп, созданных в Липецкой области, и к концу 2021 года ожидается существенное увеличение оборота розничной торговли и общественного питания по сравнению со значениями 2020 года.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proofErr w:type="gramStart"/>
      <w:r w:rsidRPr="00A4024D">
        <w:lastRenderedPageBreak/>
        <w:t>По состоянию на 01.01.2021 общее число объектов потребительского рынка составляет более 4 тыс. ед., из них 1425 – стационарных предприятий розничной торговли, 780 из которых приспособлены для доступа лиц с ограниченными возможностями (01.01.2020 – 1387 и 747 предприятий соответственно).</w:t>
      </w:r>
      <w:proofErr w:type="gramEnd"/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>По итогам 2020 года фактический показатель обеспеченности населения торговыми площадями составил 1004,6 кв. м на 1000 жителей (при нормативе 760 кв. м), в 2019 – 965,2 кв. м на 1000 жителей. Фактический показатель обеспеченности населения торговыми площадями превысил норматив на 244,6 кв. м на 1000 жителей и составил 132,2 % от норматива.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proofErr w:type="gramStart"/>
      <w:r w:rsidRPr="00A4024D">
        <w:t>Введен в эксплуатацию ТК «Елецкий», расположенный на ул. Хренникова, 1В, общей площадью 2,5 тыс. кв. м (1,6 тыс. кв. м торговой площади), а также ТЦ «Апельсин» по ул. Катукова, 3а, общей площадью 7,1 тыс. кв. м  (5,3 тыс. кв. м торговой площади).</w:t>
      </w:r>
      <w:proofErr w:type="gramEnd"/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 xml:space="preserve">В настоящее время развивается сеть предприятий с широким ассортиментом товаров по ценам ниже средних рыночных: сеть </w:t>
      </w:r>
      <w:proofErr w:type="spellStart"/>
      <w:r w:rsidRPr="00A4024D">
        <w:t>дискаунтеров</w:t>
      </w:r>
      <w:proofErr w:type="spellEnd"/>
      <w:r w:rsidRPr="00A4024D">
        <w:t xml:space="preserve"> «Светофор», «Победа», гипермаркетов низких цен «Маяк». В тоже время продолжается открытие предприятий федеральных </w:t>
      </w:r>
      <w:proofErr w:type="spellStart"/>
      <w:r w:rsidRPr="00A4024D">
        <w:t>ритейлеров</w:t>
      </w:r>
      <w:proofErr w:type="spellEnd"/>
      <w:r w:rsidRPr="00A4024D">
        <w:t xml:space="preserve"> Х5 </w:t>
      </w:r>
      <w:r w:rsidRPr="00A4024D">
        <w:rPr>
          <w:lang w:val="en-US"/>
        </w:rPr>
        <w:t>Retail</w:t>
      </w:r>
      <w:r w:rsidRPr="00A4024D">
        <w:t xml:space="preserve"> </w:t>
      </w:r>
      <w:r w:rsidRPr="00A4024D">
        <w:rPr>
          <w:lang w:val="en-US"/>
        </w:rPr>
        <w:t>Group</w:t>
      </w:r>
      <w:r w:rsidRPr="00A4024D">
        <w:t>, «Магнит» и региональных – «Пролетарский», «Хомяк».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>Оборот розничной торговли по крупным и средним предприятиям по итогам 2020 года составил 75,5 млрд. рублей  или 108,0% к 2019 году.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>К концу 2021 года ожидается открытие гипермаркета «</w:t>
      </w:r>
      <w:proofErr w:type="spellStart"/>
      <w:r w:rsidRPr="00A4024D">
        <w:t>Леруа</w:t>
      </w:r>
      <w:proofErr w:type="spellEnd"/>
      <w:r w:rsidRPr="00A4024D">
        <w:t xml:space="preserve"> </w:t>
      </w:r>
      <w:proofErr w:type="spellStart"/>
      <w:r w:rsidRPr="00A4024D">
        <w:t>Мерлен</w:t>
      </w:r>
      <w:proofErr w:type="spellEnd"/>
      <w:r w:rsidRPr="00A4024D">
        <w:t xml:space="preserve">», площадью 17 тысяч квадратных метров, здание которого уже введено в эксплуатацию. Планируется создать порядка 250 рабочих мест. На сегодняшний день торговый центр обеспечен электроснабжением по 2 категории надежности, имеет собственную газовую котельную, присоединен к городским сетям водоснабжения и водоотведения. Объем инвестиций в проект составляет более 1 млрд. рублей. 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rPr>
          <w:lang w:bidi="ru-RU"/>
        </w:rPr>
        <w:t xml:space="preserve">По оценке </w:t>
      </w:r>
      <w:proofErr w:type="gramStart"/>
      <w:r w:rsidRPr="00A4024D">
        <w:rPr>
          <w:lang w:bidi="ru-RU"/>
        </w:rPr>
        <w:t>на конец</w:t>
      </w:r>
      <w:proofErr w:type="gramEnd"/>
      <w:r w:rsidRPr="00A4024D">
        <w:rPr>
          <w:lang w:bidi="ru-RU"/>
        </w:rPr>
        <w:t xml:space="preserve"> 2021 года оборот розничной торговли составит </w:t>
      </w:r>
      <w:r w:rsidRPr="00A4024D">
        <w:t xml:space="preserve">85227,7 </w:t>
      </w:r>
      <w:r w:rsidRPr="00A4024D">
        <w:rPr>
          <w:lang w:bidi="ru-RU"/>
        </w:rPr>
        <w:t>млн. рублей или 112,8% к 2020 году.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 xml:space="preserve">По состоянию на 01.01.2021 в городе функционирует 649 предприятий общественного питания, из них 436 общедоступных с общим количеством посадочных мест 23060 (01.01.2020 – 644 предприятия, из которых 431 </w:t>
      </w:r>
      <w:proofErr w:type="gramStart"/>
      <w:r w:rsidRPr="00A4024D">
        <w:t>общедоступное</w:t>
      </w:r>
      <w:proofErr w:type="gramEnd"/>
      <w:r w:rsidRPr="00A4024D">
        <w:t xml:space="preserve"> с общим количеством посадочных мест 23067). 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 xml:space="preserve">Наблюдается тенденция по открытию предприятий общественного питания с небольшим количеством посадочных мест, например, сеть кафе «Оживи».  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 xml:space="preserve">По итогам 2020 года фактический показатель обеспеченности населения посадочными местами составил 45,4 посадочных мест на 1000 жителей (при нормативе 40 посадочных мест), уровень обеспеченности – 113,5%. Рост по сравнению с 2019 годом – на 0,2%. 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t xml:space="preserve">Оборот общественного питания по крупным и средним предприятиям в 2020 году составил 1298,6 млн. рублей или 90,1% к 2019 году.  </w:t>
      </w:r>
    </w:p>
    <w:p w:rsidR="005E0243" w:rsidRPr="00A4024D" w:rsidRDefault="005E0243" w:rsidP="005E0243">
      <w:pPr>
        <w:autoSpaceDE w:val="0"/>
        <w:autoSpaceDN w:val="0"/>
        <w:adjustRightInd w:val="0"/>
        <w:ind w:firstLine="720"/>
        <w:jc w:val="both"/>
      </w:pPr>
      <w:r w:rsidRPr="00A4024D">
        <w:rPr>
          <w:lang w:bidi="ru-RU"/>
        </w:rPr>
        <w:t xml:space="preserve">По оценке </w:t>
      </w:r>
      <w:proofErr w:type="gramStart"/>
      <w:r w:rsidRPr="00A4024D">
        <w:rPr>
          <w:lang w:bidi="ru-RU"/>
        </w:rPr>
        <w:t>на конец</w:t>
      </w:r>
      <w:proofErr w:type="gramEnd"/>
      <w:r w:rsidRPr="00A4024D">
        <w:rPr>
          <w:lang w:bidi="ru-RU"/>
        </w:rPr>
        <w:t xml:space="preserve"> 2021 года оборот общественного питания составит 1514,1 млн. рублей или 116,6% к 2020 году. </w:t>
      </w:r>
    </w:p>
    <w:p w:rsidR="00E03E72" w:rsidRPr="00A4024D" w:rsidRDefault="00E03E72" w:rsidP="00E03E72">
      <w:pPr>
        <w:tabs>
          <w:tab w:val="left" w:pos="709"/>
        </w:tabs>
        <w:ind w:firstLine="709"/>
        <w:jc w:val="both"/>
      </w:pPr>
      <w:r w:rsidRPr="00A4024D">
        <w:rPr>
          <w:color w:val="000000"/>
          <w:lang w:bidi="ru-RU"/>
        </w:rPr>
        <w:t xml:space="preserve">По </w:t>
      </w:r>
      <w:r w:rsidR="00646342" w:rsidRPr="00A4024D">
        <w:rPr>
          <w:color w:val="000000"/>
          <w:lang w:bidi="ru-RU"/>
        </w:rPr>
        <w:t>базовому</w:t>
      </w:r>
      <w:r w:rsidRPr="00A4024D">
        <w:rPr>
          <w:color w:val="000000"/>
          <w:lang w:bidi="ru-RU"/>
        </w:rPr>
        <w:t xml:space="preserve"> прогнозу (1 вариант) в 202</w:t>
      </w:r>
      <w:r w:rsidR="00646342" w:rsidRPr="00A4024D">
        <w:rPr>
          <w:color w:val="000000"/>
          <w:lang w:bidi="ru-RU"/>
        </w:rPr>
        <w:t>7</w:t>
      </w:r>
      <w:r w:rsidRPr="00A4024D">
        <w:rPr>
          <w:color w:val="000000"/>
          <w:lang w:bidi="ru-RU"/>
        </w:rPr>
        <w:t xml:space="preserve"> году оборот розничной торговли по  крупным и средним торговым предприятиям города Липецка составит </w:t>
      </w:r>
      <w:r w:rsidR="00D92A06" w:rsidRPr="00A4024D">
        <w:rPr>
          <w:color w:val="000000"/>
          <w:lang w:bidi="ru-RU"/>
        </w:rPr>
        <w:lastRenderedPageBreak/>
        <w:t>120912,6</w:t>
      </w:r>
      <w:r w:rsidRPr="00A4024D">
        <w:rPr>
          <w:color w:val="000000"/>
          <w:lang w:bidi="ru-RU"/>
        </w:rPr>
        <w:t xml:space="preserve"> млн. рублей, предприятиями общественного питания буд</w:t>
      </w:r>
      <w:r w:rsidR="00D92A06" w:rsidRPr="00A4024D">
        <w:rPr>
          <w:color w:val="000000"/>
          <w:lang w:bidi="ru-RU"/>
        </w:rPr>
        <w:t>ет оказано услуг на сумму 2078,9</w:t>
      </w:r>
      <w:r w:rsidRPr="00A4024D">
        <w:rPr>
          <w:color w:val="000000"/>
          <w:lang w:bidi="ru-RU"/>
        </w:rPr>
        <w:t xml:space="preserve"> млн. рублей.</w:t>
      </w:r>
    </w:p>
    <w:p w:rsidR="00E03E72" w:rsidRPr="00A4024D" w:rsidRDefault="00E03E72" w:rsidP="00E03E72">
      <w:pPr>
        <w:pStyle w:val="2a"/>
        <w:shd w:val="clear" w:color="auto" w:fill="auto"/>
        <w:spacing w:before="0"/>
        <w:ind w:firstLine="700"/>
        <w:jc w:val="both"/>
      </w:pPr>
      <w:r w:rsidRPr="00A4024D">
        <w:rPr>
          <w:color w:val="000000"/>
          <w:lang w:bidi="ru-RU"/>
        </w:rPr>
        <w:t xml:space="preserve">По </w:t>
      </w:r>
      <w:r w:rsidR="00646342" w:rsidRPr="00A4024D">
        <w:rPr>
          <w:color w:val="000000"/>
          <w:lang w:bidi="ru-RU"/>
        </w:rPr>
        <w:t>конс</w:t>
      </w:r>
      <w:r w:rsidR="00D92A06" w:rsidRPr="00A4024D">
        <w:rPr>
          <w:color w:val="000000"/>
          <w:lang w:bidi="ru-RU"/>
        </w:rPr>
        <w:t>е</w:t>
      </w:r>
      <w:r w:rsidR="00646342" w:rsidRPr="00A4024D">
        <w:rPr>
          <w:color w:val="000000"/>
          <w:lang w:bidi="ru-RU"/>
        </w:rPr>
        <w:t>рвативному</w:t>
      </w:r>
      <w:r w:rsidRPr="00A4024D">
        <w:rPr>
          <w:color w:val="000000"/>
          <w:lang w:bidi="ru-RU"/>
        </w:rPr>
        <w:t xml:space="preserve"> прогнозу (2 вариант) в 202</w:t>
      </w:r>
      <w:r w:rsidR="00646342" w:rsidRPr="00A4024D">
        <w:rPr>
          <w:color w:val="000000"/>
          <w:lang w:bidi="ru-RU"/>
        </w:rPr>
        <w:t>7</w:t>
      </w:r>
      <w:r w:rsidRPr="00A4024D">
        <w:rPr>
          <w:color w:val="000000"/>
          <w:lang w:bidi="ru-RU"/>
        </w:rPr>
        <w:t xml:space="preserve"> году оборот розничной торговли по крупным и средним торговым предприятиям города  Липецка </w:t>
      </w:r>
      <w:r w:rsidR="00D92A06" w:rsidRPr="00A4024D">
        <w:rPr>
          <w:color w:val="000000"/>
          <w:lang w:bidi="ru-RU"/>
        </w:rPr>
        <w:t>составит 117400,8</w:t>
      </w:r>
      <w:r w:rsidRPr="00A4024D">
        <w:rPr>
          <w:color w:val="000000"/>
          <w:lang w:bidi="ru-RU"/>
        </w:rPr>
        <w:t xml:space="preserve"> млн. рублей, предприятиями общественного питания будет оказано услуг на сумму </w:t>
      </w:r>
      <w:r w:rsidR="00D92A06" w:rsidRPr="00A4024D">
        <w:rPr>
          <w:color w:val="000000"/>
          <w:lang w:bidi="ru-RU"/>
        </w:rPr>
        <w:t>1970,2</w:t>
      </w:r>
      <w:r w:rsidRPr="00A4024D">
        <w:rPr>
          <w:color w:val="000000"/>
          <w:lang w:bidi="ru-RU"/>
        </w:rPr>
        <w:t xml:space="preserve"> млн. рублей.</w:t>
      </w:r>
    </w:p>
    <w:p w:rsidR="00E03E72" w:rsidRPr="00A4024D" w:rsidRDefault="00E03E72" w:rsidP="00E03E72">
      <w:pPr>
        <w:tabs>
          <w:tab w:val="left" w:pos="709"/>
        </w:tabs>
        <w:ind w:firstLine="709"/>
        <w:jc w:val="both"/>
        <w:rPr>
          <w:szCs w:val="28"/>
        </w:rPr>
      </w:pPr>
      <w:r w:rsidRPr="00A4024D">
        <w:rPr>
          <w:szCs w:val="28"/>
        </w:rPr>
        <w:t>Показатели оборота розничной торговли и общественного питания по крупным и средним предприятиям  города Липецка за 20</w:t>
      </w:r>
      <w:r w:rsidR="00646342" w:rsidRPr="00A4024D">
        <w:rPr>
          <w:szCs w:val="28"/>
        </w:rPr>
        <w:t>20</w:t>
      </w:r>
      <w:r w:rsidRPr="00A4024D">
        <w:rPr>
          <w:szCs w:val="28"/>
        </w:rPr>
        <w:t xml:space="preserve"> год, оценке на 20</w:t>
      </w:r>
      <w:r w:rsidR="00646342" w:rsidRPr="00A4024D">
        <w:rPr>
          <w:szCs w:val="28"/>
        </w:rPr>
        <w:t>21</w:t>
      </w:r>
      <w:r w:rsidRPr="00A4024D">
        <w:rPr>
          <w:szCs w:val="28"/>
        </w:rPr>
        <w:t xml:space="preserve"> год и прогноз на 20</w:t>
      </w:r>
      <w:r w:rsidR="00646342" w:rsidRPr="00A4024D">
        <w:rPr>
          <w:szCs w:val="28"/>
        </w:rPr>
        <w:t>22</w:t>
      </w:r>
      <w:r w:rsidRPr="00A4024D">
        <w:rPr>
          <w:szCs w:val="28"/>
        </w:rPr>
        <w:t>–202</w:t>
      </w:r>
      <w:r w:rsidR="00646342" w:rsidRPr="00A4024D">
        <w:rPr>
          <w:szCs w:val="28"/>
        </w:rPr>
        <w:t>7</w:t>
      </w:r>
      <w:r w:rsidRPr="00A4024D">
        <w:rPr>
          <w:szCs w:val="28"/>
        </w:rPr>
        <w:t xml:space="preserve"> годы представлены в таблице </w:t>
      </w:r>
      <w:r w:rsidR="00646342" w:rsidRPr="00A4024D">
        <w:rPr>
          <w:szCs w:val="28"/>
        </w:rPr>
        <w:t>4</w:t>
      </w:r>
      <w:r w:rsidRPr="00A4024D">
        <w:rPr>
          <w:szCs w:val="28"/>
        </w:rPr>
        <w:t>.1.</w:t>
      </w:r>
    </w:p>
    <w:p w:rsidR="00E03E72" w:rsidRPr="00A4024D" w:rsidRDefault="00E03E72" w:rsidP="00E03E72">
      <w:pPr>
        <w:ind w:left="360"/>
        <w:jc w:val="right"/>
        <w:rPr>
          <w:szCs w:val="28"/>
        </w:rPr>
      </w:pPr>
    </w:p>
    <w:p w:rsidR="00E03E72" w:rsidRPr="00A4024D" w:rsidRDefault="00E03E72" w:rsidP="00E03E72">
      <w:pPr>
        <w:ind w:left="360"/>
        <w:jc w:val="right"/>
        <w:rPr>
          <w:szCs w:val="28"/>
        </w:rPr>
      </w:pPr>
      <w:r w:rsidRPr="00A4024D">
        <w:rPr>
          <w:szCs w:val="28"/>
        </w:rPr>
        <w:t>Таблица</w:t>
      </w:r>
      <w:r w:rsidR="00646342" w:rsidRPr="00A4024D">
        <w:rPr>
          <w:szCs w:val="28"/>
        </w:rPr>
        <w:t xml:space="preserve"> 4</w:t>
      </w:r>
      <w:r w:rsidRPr="00A4024D">
        <w:rPr>
          <w:szCs w:val="28"/>
        </w:rPr>
        <w:t>.1</w:t>
      </w:r>
    </w:p>
    <w:p w:rsidR="00BB3173" w:rsidRPr="00A4024D" w:rsidRDefault="00BB3173" w:rsidP="00E03E72">
      <w:pPr>
        <w:ind w:left="360"/>
        <w:jc w:val="center"/>
        <w:rPr>
          <w:b/>
          <w:szCs w:val="28"/>
        </w:rPr>
      </w:pPr>
    </w:p>
    <w:p w:rsidR="00E03E72" w:rsidRPr="00A4024D" w:rsidRDefault="00E03E72" w:rsidP="00E03E72">
      <w:pPr>
        <w:ind w:left="360"/>
        <w:jc w:val="center"/>
        <w:rPr>
          <w:b/>
          <w:szCs w:val="28"/>
        </w:rPr>
      </w:pPr>
      <w:r w:rsidRPr="00A4024D">
        <w:rPr>
          <w:b/>
          <w:szCs w:val="28"/>
        </w:rPr>
        <w:t>Основные показатели по потребительскому рынку</w:t>
      </w:r>
    </w:p>
    <w:p w:rsidR="00E03E72" w:rsidRPr="00A4024D" w:rsidRDefault="00E03E72" w:rsidP="00E03E72">
      <w:pPr>
        <w:jc w:val="right"/>
        <w:rPr>
          <w:szCs w:val="28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708"/>
        <w:gridCol w:w="767"/>
        <w:gridCol w:w="667"/>
        <w:gridCol w:w="603"/>
        <w:gridCol w:w="614"/>
        <w:gridCol w:w="567"/>
        <w:gridCol w:w="567"/>
        <w:gridCol w:w="566"/>
        <w:gridCol w:w="567"/>
        <w:gridCol w:w="623"/>
        <w:gridCol w:w="567"/>
        <w:gridCol w:w="662"/>
        <w:gridCol w:w="630"/>
        <w:gridCol w:w="647"/>
      </w:tblGrid>
      <w:tr w:rsidR="00E03E72" w:rsidRPr="00A4024D" w:rsidTr="00D92A06">
        <w:trPr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20</w:t>
            </w:r>
            <w:r w:rsidRPr="00A4024D">
              <w:rPr>
                <w:sz w:val="18"/>
                <w:szCs w:val="18"/>
              </w:rPr>
              <w:t xml:space="preserve"> год (факт)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21</w:t>
            </w:r>
          </w:p>
          <w:p w:rsidR="00E03E72" w:rsidRPr="00A4024D" w:rsidRDefault="00E03E72" w:rsidP="00220EBF">
            <w:pPr>
              <w:ind w:lef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год (оценка)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22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прогноз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D92A06">
        <w:trPr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34" w:right="-75" w:firstLine="3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</w:tr>
      <w:tr w:rsidR="00E03E72" w:rsidRPr="00A4024D" w:rsidTr="00D92A06">
        <w:trPr>
          <w:jc w:val="center"/>
        </w:trPr>
        <w:tc>
          <w:tcPr>
            <w:tcW w:w="10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color w:val="000000"/>
                <w:sz w:val="22"/>
                <w:szCs w:val="22"/>
              </w:rPr>
              <w:t>Оборот розничной торговли*</w:t>
            </w:r>
          </w:p>
        </w:tc>
      </w:tr>
      <w:tr w:rsidR="00E03E72" w:rsidRPr="00A4024D" w:rsidTr="00D92A06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75533,6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81917,1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87581,4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41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86981,2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93636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92356,5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99816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98066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106403,8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104128,4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113426,5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110565,6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120912,6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117400,8</w:t>
            </w:r>
          </w:p>
        </w:tc>
      </w:tr>
      <w:tr w:rsidR="00E03E72" w:rsidRPr="00A4024D" w:rsidTr="00D92A06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108,5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41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46342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106,2</w:t>
            </w:r>
          </w:p>
        </w:tc>
      </w:tr>
      <w:tr w:rsidR="00E03E72" w:rsidRPr="00A4024D" w:rsidTr="00D92A06">
        <w:trPr>
          <w:jc w:val="center"/>
        </w:trPr>
        <w:tc>
          <w:tcPr>
            <w:tcW w:w="10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ind w:left="-109" w:right="-107" w:firstLine="109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Оборот общественного питания*</w:t>
            </w:r>
          </w:p>
        </w:tc>
      </w:tr>
      <w:tr w:rsidR="00E03E72" w:rsidRPr="00A4024D" w:rsidTr="00D92A06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1298,6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1515,0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1618,1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D92A06">
            <w:pPr>
              <w:ind w:left="-112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1600,9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7" w:right="-109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1714,7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1683,4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1799,3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1751,0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1888,1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42" w:right="-6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1821,2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1981,2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1894,3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2078,9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1970,2</w:t>
            </w:r>
          </w:p>
        </w:tc>
      </w:tr>
      <w:tr w:rsidR="00E03E72" w:rsidRPr="00A4024D" w:rsidTr="00D92A06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D92A06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</w:t>
            </w:r>
            <w:r w:rsidR="00D92A06" w:rsidRPr="00A4024D">
              <w:rPr>
                <w:sz w:val="15"/>
                <w:szCs w:val="15"/>
              </w:rPr>
              <w:t>33,6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116,7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105,7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7" w:right="-109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D92A06" w:rsidP="00220EBF">
            <w:pPr>
              <w:ind w:left="-109" w:right="-107"/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104</w:t>
            </w:r>
          </w:p>
        </w:tc>
      </w:tr>
    </w:tbl>
    <w:p w:rsidR="00E03E72" w:rsidRPr="00A4024D" w:rsidRDefault="00E03E72" w:rsidP="00E03E72">
      <w:pPr>
        <w:rPr>
          <w:color w:val="000000"/>
          <w:sz w:val="20"/>
        </w:rPr>
      </w:pPr>
    </w:p>
    <w:p w:rsidR="00E03E72" w:rsidRPr="00A4024D" w:rsidRDefault="00E03E72" w:rsidP="00E03E72">
      <w:pPr>
        <w:rPr>
          <w:color w:val="000000"/>
          <w:sz w:val="20"/>
        </w:rPr>
      </w:pPr>
      <w:r w:rsidRPr="00A4024D">
        <w:rPr>
          <w:color w:val="000000"/>
          <w:sz w:val="20"/>
        </w:rPr>
        <w:t>*По крупным и средним организациям</w:t>
      </w:r>
    </w:p>
    <w:p w:rsidR="00E03E72" w:rsidRPr="00A4024D" w:rsidRDefault="00E03E72" w:rsidP="00E03E72">
      <w:pPr>
        <w:jc w:val="center"/>
        <w:rPr>
          <w:b/>
        </w:rPr>
      </w:pPr>
    </w:p>
    <w:p w:rsidR="00E03E72" w:rsidRPr="00A4024D" w:rsidRDefault="0044633C" w:rsidP="00E03E72">
      <w:pPr>
        <w:ind w:firstLine="709"/>
        <w:jc w:val="center"/>
        <w:rPr>
          <w:b/>
        </w:rPr>
      </w:pPr>
      <w:r w:rsidRPr="00A4024D">
        <w:rPr>
          <w:b/>
        </w:rPr>
        <w:t>5</w:t>
      </w:r>
      <w:r w:rsidR="00E03E72" w:rsidRPr="00A4024D">
        <w:rPr>
          <w:b/>
        </w:rPr>
        <w:t>. Производство и финансы</w:t>
      </w:r>
    </w:p>
    <w:p w:rsidR="00E03E72" w:rsidRPr="00A4024D" w:rsidRDefault="00E03E72" w:rsidP="00E03E72">
      <w:pPr>
        <w:ind w:firstLine="720"/>
        <w:jc w:val="both"/>
        <w:rPr>
          <w:szCs w:val="28"/>
        </w:rPr>
      </w:pPr>
    </w:p>
    <w:p w:rsidR="00E03E72" w:rsidRPr="00A4024D" w:rsidRDefault="00E03E72" w:rsidP="00E03E72">
      <w:pPr>
        <w:ind w:firstLine="709"/>
        <w:jc w:val="both"/>
      </w:pPr>
      <w:r w:rsidRPr="00A4024D">
        <w:t xml:space="preserve">Стабильность промышленного комплекса города – основа дальнейшего прогрессивного развития муниципального образования. Промышленность составляет основу экономики города Липецка и носит многоотраслевой характер. Основную долю в промышленном производстве занимают металлургия, пищевая промышленность, машиностроение. 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>В сформировавшейся структуре доминируют металлургическое производство и производство готовых металлических изделий.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 xml:space="preserve">За 2020 год объем отгруженных промышленных товаров собственного производства, выполненных работ и услуг собственными силами (без НДС) по крупным и средним организациям составил 572,1 млрд. рублей или 105,2% к 2019 году. 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 xml:space="preserve">В структуре промышленного производства наибольшая доля (87,1%) приходится на сферу обрабатывающих производств. Объем отгруженных товаров собственного производства, выполненных работ и услуг собственными силами обрабатывающих производств в 2020 году увеличился на 5,5% и составил 545,6 млрд. рублей. 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 xml:space="preserve">В 2020 году удалось увеличить объем отгруженных товаров собственного </w:t>
      </w:r>
      <w:r w:rsidRPr="00A4024D">
        <w:lastRenderedPageBreak/>
        <w:t>производства, выполненных работ и услуг следующим предприятиям: ПАО «НЛМК» на 3,6%, АО «Прогресс» – на 10,1%,  АО «ИНДЕЗИТ ИНТЕРНЭШНЛ» – на 1,6%,  АО «</w:t>
      </w:r>
      <w:proofErr w:type="spellStart"/>
      <w:r w:rsidRPr="00A4024D">
        <w:t>Лимак</w:t>
      </w:r>
      <w:proofErr w:type="spellEnd"/>
      <w:r w:rsidRPr="00A4024D">
        <w:t>» –  на 13,9%, АО «Компания Росинка» – на 13,7%.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>Стоит отметить, что на ряде промышленных предприятий наблюдается снижение объема отгруженных товаров собственного производства: ООО «ЛТК «Свободный сокол» – на 9,3%, ООО «Эдельвейс Л» – на 21,5%, АО «</w:t>
      </w:r>
      <w:proofErr w:type="spellStart"/>
      <w:r w:rsidRPr="00A4024D">
        <w:t>Липецкцемент</w:t>
      </w:r>
      <w:proofErr w:type="spellEnd"/>
      <w:r w:rsidRPr="00A4024D">
        <w:t>» – на 22,8%, ООО «</w:t>
      </w:r>
      <w:proofErr w:type="spellStart"/>
      <w:r w:rsidRPr="00A4024D">
        <w:t>Липецкпиво</w:t>
      </w:r>
      <w:proofErr w:type="spellEnd"/>
      <w:r w:rsidRPr="00A4024D">
        <w:t>» – на 3,4%.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>На ряде промышленных предприятий города в 2020 году введены в эксплуатацию дополнительные мощности, освоены новые виды продукции и технологии, проведены мероприятия, направленные на повышение производительности труда, энергосбережение, экологическую безопасность.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 xml:space="preserve">Новолипецкий металлургический комбинат (ПАО «НЛМК) </w:t>
      </w:r>
      <w:r w:rsidRPr="00A4024D">
        <w:rPr>
          <w:bCs/>
        </w:rPr>
        <w:t>освоил производство уникального для российского рынка продукта — новой марки высокопрочной холоднокатаной стали.</w:t>
      </w:r>
      <w:r w:rsidRPr="00A4024D">
        <w:t xml:space="preserve"> Ее свойства позволяют производить детали меньшего веса при той же прочности металла и замещать импортную сталь в автомобилестроении и металлообработке.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>В 2020 году на ПАО «НЛМК» разработана инновационная марка электротехнической (</w:t>
      </w:r>
      <w:proofErr w:type="spellStart"/>
      <w:r w:rsidRPr="00A4024D">
        <w:t>динамной</w:t>
      </w:r>
      <w:proofErr w:type="spellEnd"/>
      <w:r w:rsidRPr="00A4024D">
        <w:t xml:space="preserve">) стали для производства высокотехнологичного оборудования </w:t>
      </w:r>
      <w:proofErr w:type="spellStart"/>
      <w:r w:rsidRPr="00A4024D">
        <w:t>ветрогенераторов</w:t>
      </w:r>
      <w:proofErr w:type="spellEnd"/>
      <w:r w:rsidRPr="00A4024D">
        <w:t>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>Также, в 2020 году состоялось открытие в Липецке лабораторного центра микроструктурного анализа, в котором будут анализироваться свойства сталей для разработки новых премиальных продуктов и оптимизации режимов обработки металла.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>Объем производства стали на Липецкой площадке составляет около 18% всего производства стали в России. Высококачественная металлопродукция ПАО «НЛМК» применяется в различных стратегически важных отраслях экономики, от строительства и машиностроения до производства энергетического оборудования и труб большого диаметра.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 xml:space="preserve">По итогам 2020 года объем производства стали на основной производственной площадке Группы НЛМК составил 12,3 млн. тонн. Реконструкция доменных печей и сталеплавильных агрегатов, которая проводилась в последние годы, позволит увеличить производство стали до 14,2 млн. тонн в год. 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>Стратегическим направлением деятельности в промышленной политике города является дальнейшее стимулирование инвестиций, повышение эффективности работы и конкурентоспособности предприятий.</w:t>
      </w:r>
    </w:p>
    <w:p w:rsidR="00317D39" w:rsidRPr="00A4024D" w:rsidRDefault="00317D39" w:rsidP="00317D39">
      <w:pPr>
        <w:widowControl w:val="0"/>
        <w:ind w:firstLine="709"/>
        <w:jc w:val="both"/>
      </w:pPr>
      <w:r w:rsidRPr="00A4024D">
        <w:t xml:space="preserve">По оценке </w:t>
      </w:r>
      <w:proofErr w:type="gramStart"/>
      <w:r w:rsidRPr="00A4024D">
        <w:t>на конец</w:t>
      </w:r>
      <w:proofErr w:type="gramEnd"/>
      <w:r w:rsidRPr="00A4024D">
        <w:t xml:space="preserve"> 2021 года индекс промышленного производства составит 102,5%. 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По итогам 2020 года крупными и средними организациями города Липецка получен положительный сальдированный финансовый результат – 98256,4 млн. рублей или 89,4% к 2019 году. Прибыль в размере 100151,4 </w:t>
      </w:r>
      <w:r w:rsidRPr="00A4024D">
        <w:rPr>
          <w:bCs/>
        </w:rPr>
        <w:t>млн</w:t>
      </w:r>
      <w:r w:rsidRPr="00A4024D">
        <w:t>. рублей получили 70,6% крупных и средних организаций города. Убыточными оказались 29,4% организаций (убыток составил – 1895,0 млн. рублей).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Положительный сальдированный финансовый результат показали следующие отрасли: </w:t>
      </w:r>
    </w:p>
    <w:p w:rsidR="00317D39" w:rsidRPr="00A4024D" w:rsidRDefault="00317D39" w:rsidP="00317D39">
      <w:pPr>
        <w:ind w:firstLine="709"/>
        <w:jc w:val="both"/>
      </w:pPr>
      <w:r w:rsidRPr="00A4024D">
        <w:lastRenderedPageBreak/>
        <w:t xml:space="preserve">- обрабатывающие производства – 88243,0 млн. рублей (92,0% приходится на металлургическое производство); 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- обеспечение электроэнергией, газом и паром; кондиционирование                воздуха – 1623,4 млн. рублей; </w:t>
      </w:r>
    </w:p>
    <w:p w:rsidR="00317D39" w:rsidRPr="00A4024D" w:rsidRDefault="00317D39" w:rsidP="00317D39">
      <w:pPr>
        <w:ind w:firstLine="709"/>
        <w:jc w:val="both"/>
      </w:pPr>
      <w:r w:rsidRPr="00A4024D">
        <w:t>- торговля оптовая и розничная; ремонт автотранспортных средств и мотоциклов – 3467,8 млн. рублей;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- сельское хозяйство – 1567,8 млн. рублей; 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- строительство – 733,7 млн. рублей и другие. 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В отрицательной зоне оказались организации, осуществляющие: </w:t>
      </w:r>
    </w:p>
    <w:p w:rsidR="00317D39" w:rsidRPr="00A4024D" w:rsidRDefault="00317D39" w:rsidP="00317D39">
      <w:pPr>
        <w:ind w:firstLine="709"/>
        <w:jc w:val="both"/>
      </w:pPr>
      <w:r w:rsidRPr="00A4024D">
        <w:t>- деятельность в области здравоохранения и социальных услуг – 24,2 млн. рублей;</w:t>
      </w:r>
    </w:p>
    <w:p w:rsidR="00317D39" w:rsidRPr="00A4024D" w:rsidRDefault="00317D39" w:rsidP="00317D39">
      <w:pPr>
        <w:ind w:firstLine="709"/>
        <w:jc w:val="both"/>
      </w:pPr>
      <w:r w:rsidRPr="00A4024D">
        <w:t>- транспортировка и хранение – 98,0 млн. рублей.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Наиболее прибыльными по-прежнему остаются отрасли, относящиеся по виду экономической деятельности к промышленному производству. </w:t>
      </w:r>
    </w:p>
    <w:p w:rsidR="00317D39" w:rsidRPr="00A4024D" w:rsidRDefault="00317D39" w:rsidP="00317D39">
      <w:pPr>
        <w:ind w:firstLine="709"/>
        <w:jc w:val="both"/>
      </w:pPr>
      <w:r w:rsidRPr="00A4024D">
        <w:t xml:space="preserve">По итогам 2020 года с прибылью сработали такие промышленные организации города, как: </w:t>
      </w:r>
      <w:proofErr w:type="gramStart"/>
      <w:r w:rsidRPr="00A4024D">
        <w:t>ПАО «НЛМК», АО «</w:t>
      </w:r>
      <w:proofErr w:type="spellStart"/>
      <w:r w:rsidRPr="00A4024D">
        <w:t>Лимак</w:t>
      </w:r>
      <w:proofErr w:type="spellEnd"/>
      <w:r w:rsidRPr="00A4024D">
        <w:t xml:space="preserve">», АО «Прогресс», ООО «ЛТК «Свободный </w:t>
      </w:r>
      <w:r w:rsidR="001D4A22" w:rsidRPr="00A4024D">
        <w:t>с</w:t>
      </w:r>
      <w:r w:rsidRPr="00A4024D">
        <w:t>окол», ООО ЛПО «Электроаппарат», ООО ЛОЭЗ «</w:t>
      </w:r>
      <w:proofErr w:type="spellStart"/>
      <w:r w:rsidRPr="00A4024D">
        <w:t>Гидромаш</w:t>
      </w:r>
      <w:proofErr w:type="spellEnd"/>
      <w:r w:rsidRPr="00A4024D">
        <w:t xml:space="preserve">», ООО НПП «Валок», ООО «ЛЗСМ», АО «ДСК», ООО «Газпром газораспределение Липецк», ООО «Су-1 </w:t>
      </w:r>
      <w:proofErr w:type="spellStart"/>
      <w:r w:rsidRPr="00A4024D">
        <w:t>Липецкстрой</w:t>
      </w:r>
      <w:proofErr w:type="spellEnd"/>
      <w:r w:rsidRPr="00A4024D">
        <w:t xml:space="preserve">», ООО «Эдельвейс Л», АО «Липецкий хладокомбинат», и другие. </w:t>
      </w:r>
      <w:proofErr w:type="gramEnd"/>
    </w:p>
    <w:p w:rsidR="00317D39" w:rsidRPr="00A4024D" w:rsidRDefault="00317D39" w:rsidP="00317D39">
      <w:pPr>
        <w:ind w:firstLine="709"/>
        <w:jc w:val="both"/>
      </w:pPr>
      <w:proofErr w:type="gramStart"/>
      <w:r w:rsidRPr="00A4024D">
        <w:t xml:space="preserve">В 2020 году в условиях  распространения заболеваемости новой </w:t>
      </w:r>
      <w:proofErr w:type="spellStart"/>
      <w:r w:rsidRPr="00A4024D">
        <w:t>коронавирусной</w:t>
      </w:r>
      <w:proofErr w:type="spellEnd"/>
      <w:r w:rsidRPr="00A4024D">
        <w:t xml:space="preserve"> инфекции (2019-</w:t>
      </w:r>
      <w:r w:rsidRPr="00A4024D">
        <w:rPr>
          <w:lang w:val="en-US"/>
        </w:rPr>
        <w:t>n</w:t>
      </w:r>
      <w:r w:rsidRPr="00A4024D">
        <w:t>Со</w:t>
      </w:r>
      <w:r w:rsidRPr="00A4024D">
        <w:rPr>
          <w:lang w:val="en-US"/>
        </w:rPr>
        <w:t>V</w:t>
      </w:r>
      <w:r w:rsidRPr="00A4024D">
        <w:t>) среди населения на федеральном и региональном уровнях был разработан комплекс ограничительных мер и иных мероприятий.</w:t>
      </w:r>
      <w:proofErr w:type="gramEnd"/>
      <w:r w:rsidRPr="00A4024D">
        <w:t xml:space="preserve"> Определен список сфер деятельности, наиболее пострадавших от распространения </w:t>
      </w:r>
      <w:proofErr w:type="spellStart"/>
      <w:r w:rsidRPr="00A4024D">
        <w:t>коронавирусной</w:t>
      </w:r>
      <w:proofErr w:type="spellEnd"/>
      <w:r w:rsidRPr="00A4024D">
        <w:t xml:space="preserve"> инфекции (постановление Правительства Российской Федерации от 03.04.2020 № 434 «Об утверждении  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4024D">
        <w:t>коронавирусной</w:t>
      </w:r>
      <w:proofErr w:type="spellEnd"/>
      <w:r w:rsidRPr="00A4024D">
        <w:t xml:space="preserve"> инфекции»).</w:t>
      </w:r>
    </w:p>
    <w:p w:rsidR="00317D39" w:rsidRPr="00A4024D" w:rsidRDefault="00317D39" w:rsidP="00317D39">
      <w:pPr>
        <w:ind w:firstLine="709"/>
        <w:jc w:val="both"/>
      </w:pPr>
      <w:r w:rsidRPr="00A4024D">
        <w:t>Отметим, что даже крупные липецкие организации зарегистрировали снижение чистой прибыли в прошедшем году. Так, чистая прибыль ПАО «НЛМК» снизилась на 26,7%, АО «ДСК» – на 39,3%, АО «Прогресс» – на 43,9%, ООО «ЛТК «Свободный Сокол» – на 52,9%.</w:t>
      </w:r>
    </w:p>
    <w:p w:rsidR="00317D39" w:rsidRPr="00A4024D" w:rsidRDefault="00317D39" w:rsidP="00317D39">
      <w:pPr>
        <w:ind w:firstLine="709"/>
        <w:jc w:val="both"/>
      </w:pPr>
      <w:r w:rsidRPr="00A4024D">
        <w:t>Большое влияние на финансовый результат по городу Липецку оказывает деятельность металлургических организаций, на долю которых приходится более 80% от значений сальдированного финансового результата по городу.</w:t>
      </w:r>
    </w:p>
    <w:p w:rsidR="00317D39" w:rsidRPr="00A4024D" w:rsidRDefault="00317D39" w:rsidP="00317D39">
      <w:pPr>
        <w:ind w:firstLine="709"/>
        <w:jc w:val="both"/>
      </w:pPr>
      <w:r w:rsidRPr="00A4024D">
        <w:t>Проведенный анализ показал, что в 2021 году на деятельность металлургического сектора окажет влияние рост на мировых рынках металлопродукции, начавшийся с конца 2020 года, и введение Правительством Российской Федерации с 1 августа по 31 декабря экспортных пошлин на черные и цветные металлы при вывозе их за пределы Евразийского экономического союза.</w:t>
      </w:r>
    </w:p>
    <w:p w:rsidR="00317D39" w:rsidRPr="00A4024D" w:rsidRDefault="00317D39" w:rsidP="00317D39">
      <w:pPr>
        <w:ind w:firstLine="709"/>
        <w:jc w:val="both"/>
      </w:pPr>
      <w:r w:rsidRPr="00A4024D">
        <w:t>На финансовые показатели металлургических организаци</w:t>
      </w:r>
      <w:r w:rsidR="00A4024D" w:rsidRPr="00A4024D">
        <w:t>й в прогнозном периоде 2022-2027</w:t>
      </w:r>
      <w:r w:rsidRPr="00A4024D">
        <w:t xml:space="preserve"> годов окажет влияние увеличение налога на добычу полезных ископаемых при добыче руд черных и цветных металлов.  </w:t>
      </w:r>
    </w:p>
    <w:p w:rsidR="00E03E72" w:rsidRPr="00A4024D" w:rsidRDefault="00E03E72" w:rsidP="00E03E72">
      <w:pPr>
        <w:ind w:firstLine="709"/>
        <w:jc w:val="both"/>
        <w:rPr>
          <w:szCs w:val="28"/>
        </w:rPr>
      </w:pPr>
      <w:proofErr w:type="gramStart"/>
      <w:r w:rsidRPr="00A4024D">
        <w:rPr>
          <w:szCs w:val="28"/>
        </w:rPr>
        <w:lastRenderedPageBreak/>
        <w:t xml:space="preserve">Динамика объемов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организациям, </w:t>
      </w:r>
      <w:r w:rsidRPr="00A4024D">
        <w:rPr>
          <w:snapToGrid w:val="0"/>
          <w:color w:val="000000"/>
        </w:rPr>
        <w:t>данные о финансовых результатах, полученных крупными и средними организациями города Липецка в 20</w:t>
      </w:r>
      <w:r w:rsidR="00763249" w:rsidRPr="00A4024D">
        <w:rPr>
          <w:snapToGrid w:val="0"/>
          <w:color w:val="000000"/>
        </w:rPr>
        <w:t>20</w:t>
      </w:r>
      <w:r w:rsidRPr="00A4024D">
        <w:rPr>
          <w:snapToGrid w:val="0"/>
          <w:color w:val="000000"/>
        </w:rPr>
        <w:t xml:space="preserve"> году, их </w:t>
      </w:r>
      <w:r w:rsidRPr="00A4024D">
        <w:rPr>
          <w:color w:val="000000"/>
        </w:rPr>
        <w:t>оценка на 20</w:t>
      </w:r>
      <w:r w:rsidR="00763249" w:rsidRPr="00A4024D">
        <w:rPr>
          <w:color w:val="000000"/>
        </w:rPr>
        <w:t>21</w:t>
      </w:r>
      <w:r w:rsidRPr="00A4024D">
        <w:rPr>
          <w:color w:val="000000"/>
        </w:rPr>
        <w:t xml:space="preserve"> год и прогноз на 20</w:t>
      </w:r>
      <w:r w:rsidR="00763249" w:rsidRPr="00A4024D">
        <w:rPr>
          <w:color w:val="000000"/>
        </w:rPr>
        <w:t>22</w:t>
      </w:r>
      <w:r w:rsidRPr="00A4024D">
        <w:rPr>
          <w:color w:val="000000"/>
        </w:rPr>
        <w:t>–202</w:t>
      </w:r>
      <w:r w:rsidR="00763249" w:rsidRPr="00A4024D">
        <w:rPr>
          <w:color w:val="000000"/>
        </w:rPr>
        <w:t>7</w:t>
      </w:r>
      <w:r w:rsidRPr="00A4024D">
        <w:rPr>
          <w:color w:val="000000"/>
        </w:rPr>
        <w:t xml:space="preserve"> годы приведены в таблице </w:t>
      </w:r>
      <w:r w:rsidR="0044633C" w:rsidRPr="00A4024D">
        <w:rPr>
          <w:color w:val="000000"/>
        </w:rPr>
        <w:t>5</w:t>
      </w:r>
      <w:r w:rsidRPr="00A4024D">
        <w:rPr>
          <w:color w:val="000000"/>
        </w:rPr>
        <w:t>.1.</w:t>
      </w:r>
      <w:proofErr w:type="gramEnd"/>
    </w:p>
    <w:p w:rsidR="00E03E72" w:rsidRPr="00A4024D" w:rsidRDefault="00E03E72" w:rsidP="00E03E72">
      <w:pPr>
        <w:ind w:firstLine="720"/>
        <w:jc w:val="right"/>
        <w:rPr>
          <w:snapToGrid w:val="0"/>
        </w:rPr>
      </w:pPr>
    </w:p>
    <w:p w:rsidR="00E03E72" w:rsidRPr="00A4024D" w:rsidRDefault="00E03E72" w:rsidP="00E03E72">
      <w:pPr>
        <w:ind w:firstLine="720"/>
        <w:jc w:val="right"/>
        <w:rPr>
          <w:snapToGrid w:val="0"/>
        </w:rPr>
      </w:pPr>
      <w:r w:rsidRPr="00A4024D">
        <w:rPr>
          <w:snapToGrid w:val="0"/>
        </w:rPr>
        <w:t xml:space="preserve">Таблица </w:t>
      </w:r>
      <w:r w:rsidR="0044633C" w:rsidRPr="00A4024D">
        <w:rPr>
          <w:snapToGrid w:val="0"/>
        </w:rPr>
        <w:t>5</w:t>
      </w:r>
      <w:r w:rsidRPr="00A4024D">
        <w:rPr>
          <w:snapToGrid w:val="0"/>
        </w:rPr>
        <w:t>.1</w:t>
      </w:r>
    </w:p>
    <w:p w:rsidR="00E03E72" w:rsidRPr="00A4024D" w:rsidRDefault="00E03E72" w:rsidP="00E03E72">
      <w:pPr>
        <w:ind w:firstLine="720"/>
        <w:jc w:val="right"/>
        <w:rPr>
          <w:snapToGrid w:val="0"/>
        </w:rPr>
      </w:pPr>
    </w:p>
    <w:p w:rsidR="00E03E72" w:rsidRPr="00A4024D" w:rsidRDefault="00E03E72" w:rsidP="00E03E72">
      <w:pPr>
        <w:ind w:firstLine="720"/>
        <w:jc w:val="center"/>
        <w:rPr>
          <w:b/>
          <w:snapToGrid w:val="0"/>
        </w:rPr>
      </w:pPr>
      <w:r w:rsidRPr="00A4024D">
        <w:rPr>
          <w:b/>
          <w:snapToGrid w:val="0"/>
        </w:rPr>
        <w:t>Основные показатели по производству и финансам</w:t>
      </w:r>
    </w:p>
    <w:tbl>
      <w:tblPr>
        <w:tblpPr w:leftFromText="180" w:rightFromText="180" w:vertAnchor="text" w:horzAnchor="margin" w:tblpXSpec="center" w:tblpY="211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567"/>
        <w:gridCol w:w="567"/>
        <w:gridCol w:w="567"/>
        <w:gridCol w:w="567"/>
        <w:gridCol w:w="567"/>
        <w:gridCol w:w="566"/>
        <w:gridCol w:w="567"/>
        <w:gridCol w:w="638"/>
        <w:gridCol w:w="567"/>
        <w:gridCol w:w="567"/>
        <w:gridCol w:w="567"/>
        <w:gridCol w:w="567"/>
      </w:tblGrid>
      <w:tr w:rsidR="00E03E72" w:rsidRPr="00A4024D" w:rsidTr="00220EBF">
        <w:trPr>
          <w:trHeight w:val="3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 xml:space="preserve">20 </w:t>
            </w:r>
            <w:r w:rsidRPr="00A4024D">
              <w:rPr>
                <w:sz w:val="18"/>
                <w:szCs w:val="18"/>
              </w:rPr>
              <w:t>год 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8E6DA0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2021</w:t>
            </w:r>
            <w:r w:rsidR="00E03E72" w:rsidRPr="00A4024D">
              <w:rPr>
                <w:sz w:val="18"/>
                <w:szCs w:val="18"/>
              </w:rPr>
              <w:t xml:space="preserve"> </w:t>
            </w:r>
          </w:p>
          <w:p w:rsidR="00E03E72" w:rsidRPr="00A4024D" w:rsidRDefault="00E03E72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год (оценка)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22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220EB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</w:tr>
      <w:tr w:rsidR="00E03E72" w:rsidRPr="00A4024D" w:rsidTr="00220EBF">
        <w:trPr>
          <w:trHeight w:val="615"/>
        </w:trPr>
        <w:tc>
          <w:tcPr>
            <w:tcW w:w="9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производству*</w:t>
            </w:r>
          </w:p>
        </w:tc>
      </w:tr>
      <w:tr w:rsidR="00E03E72" w:rsidRPr="00A4024D" w:rsidTr="00220EBF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782,5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837,8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897,4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918,4</w:t>
            </w:r>
          </w:p>
        </w:tc>
      </w:tr>
      <w:tr w:rsidR="00E03E72" w:rsidRPr="00A4024D" w:rsidTr="00220E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106,1</w:t>
            </w:r>
          </w:p>
        </w:tc>
      </w:tr>
      <w:tr w:rsidR="00E03E72" w:rsidRPr="00A4024D" w:rsidTr="00220EBF">
        <w:trPr>
          <w:trHeight w:val="282"/>
        </w:trPr>
        <w:tc>
          <w:tcPr>
            <w:tcW w:w="9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ind w:right="-108"/>
              <w:rPr>
                <w:sz w:val="15"/>
                <w:szCs w:val="15"/>
              </w:rPr>
            </w:pPr>
            <w:r w:rsidRPr="00A4024D">
              <w:rPr>
                <w:color w:val="000000"/>
                <w:sz w:val="22"/>
                <w:szCs w:val="22"/>
              </w:rPr>
              <w:t>Объем инвестиций в основной капитал*</w:t>
            </w:r>
          </w:p>
        </w:tc>
      </w:tr>
      <w:tr w:rsidR="00E03E72" w:rsidRPr="00A4024D" w:rsidTr="00220E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89,2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91,7</w:t>
            </w:r>
          </w:p>
        </w:tc>
      </w:tr>
      <w:tr w:rsidR="00E03E72" w:rsidRPr="00A4024D" w:rsidTr="00220E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(в сопоставимых ценах)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103,5</w:t>
            </w:r>
          </w:p>
        </w:tc>
      </w:tr>
      <w:tr w:rsidR="00E03E72" w:rsidRPr="00A4024D" w:rsidTr="00220EBF">
        <w:trPr>
          <w:trHeight w:val="318"/>
        </w:trPr>
        <w:tc>
          <w:tcPr>
            <w:tcW w:w="9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ind w:right="-107"/>
              <w:rPr>
                <w:sz w:val="16"/>
                <w:szCs w:val="16"/>
              </w:rPr>
            </w:pPr>
            <w:r w:rsidRPr="00A4024D">
              <w:rPr>
                <w:color w:val="000000"/>
                <w:sz w:val="22"/>
                <w:szCs w:val="22"/>
              </w:rPr>
              <w:t>Финансовый результат  прибыльных организаций*</w:t>
            </w:r>
          </w:p>
        </w:tc>
      </w:tr>
      <w:tr w:rsidR="00E03E72" w:rsidRPr="00A4024D" w:rsidTr="00220E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r w:rsidRPr="00A4024D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0E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131,4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149,6</w:t>
            </w:r>
          </w:p>
        </w:tc>
      </w:tr>
      <w:tr w:rsidR="00E03E72" w:rsidRPr="00A4024D" w:rsidTr="00220E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82E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82E0E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105,8</w:t>
            </w:r>
          </w:p>
        </w:tc>
      </w:tr>
    </w:tbl>
    <w:p w:rsidR="00E03E72" w:rsidRPr="00A4024D" w:rsidRDefault="00E03E72" w:rsidP="00E03E72">
      <w:pPr>
        <w:rPr>
          <w:color w:val="000000"/>
          <w:sz w:val="20"/>
        </w:rPr>
      </w:pPr>
    </w:p>
    <w:p w:rsidR="00E03E72" w:rsidRPr="00A4024D" w:rsidRDefault="00E03E72" w:rsidP="00E03E72">
      <w:pPr>
        <w:rPr>
          <w:color w:val="000000"/>
          <w:sz w:val="20"/>
        </w:rPr>
      </w:pPr>
      <w:r w:rsidRPr="00A4024D">
        <w:rPr>
          <w:color w:val="000000"/>
          <w:sz w:val="20"/>
        </w:rPr>
        <w:t>*По крупным и средним организациям</w:t>
      </w:r>
    </w:p>
    <w:p w:rsidR="00E03E72" w:rsidRPr="00A4024D" w:rsidRDefault="00E03E72" w:rsidP="00E03E72">
      <w:pPr>
        <w:ind w:left="720"/>
        <w:jc w:val="both"/>
        <w:rPr>
          <w:szCs w:val="28"/>
        </w:rPr>
      </w:pPr>
    </w:p>
    <w:p w:rsidR="00E03E72" w:rsidRPr="00A4024D" w:rsidRDefault="0044633C" w:rsidP="00E03E72">
      <w:pPr>
        <w:ind w:firstLine="709"/>
        <w:jc w:val="center"/>
        <w:rPr>
          <w:b/>
        </w:rPr>
      </w:pPr>
      <w:r w:rsidRPr="00A4024D">
        <w:rPr>
          <w:b/>
        </w:rPr>
        <w:t>6</w:t>
      </w:r>
      <w:r w:rsidR="00E03E72" w:rsidRPr="00A4024D">
        <w:rPr>
          <w:b/>
        </w:rPr>
        <w:t>. Малое и среднее предпринимательство</w:t>
      </w:r>
    </w:p>
    <w:p w:rsidR="00E03E72" w:rsidRPr="00A4024D" w:rsidRDefault="00E03E72" w:rsidP="00E03E72"/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Малое и среднее предпринимательство (далее – МСП) отличается гибкостью, мобильностью, во многом определяет темп экономического роста и производственную структуру городского хозяйства.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Малый и средний бизнес позволяет создавать новые рабочие места, обеспечивает занятость населения, способствует демонополизации экономики. При наличии </w:t>
      </w:r>
      <w:proofErr w:type="spellStart"/>
      <w:r w:rsidRPr="00A4024D">
        <w:rPr>
          <w:szCs w:val="28"/>
        </w:rPr>
        <w:t>моноотраслевой</w:t>
      </w:r>
      <w:proofErr w:type="spellEnd"/>
      <w:r w:rsidRPr="00A4024D">
        <w:rPr>
          <w:szCs w:val="28"/>
        </w:rPr>
        <w:t xml:space="preserve"> направленности экономики города Липецка данный аспект является особенно актуальным, так как создает благоприятные условия для социально-экономического развития муниципального образования.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По данным единого реестра субъектов малого и среднего предпринимательства (далее – ЕРСМСП) количество субъектов МСП в 2020 году составило 21137 ед. и по сравнению с 2019 годом снизилось на 877 ед. (или на 4%). 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proofErr w:type="gramStart"/>
      <w:r w:rsidRPr="00A4024D">
        <w:rPr>
          <w:szCs w:val="28"/>
        </w:rPr>
        <w:t xml:space="preserve">В тоже время принятые меры поддержки на всех уровнях власти (льготные кредиты на уплату заработной платы сотрудникам, отсрочка и рассрочка по </w:t>
      </w:r>
      <w:r w:rsidRPr="00A4024D">
        <w:rPr>
          <w:szCs w:val="28"/>
        </w:rPr>
        <w:lastRenderedPageBreak/>
        <w:t xml:space="preserve">налогам и сборам, снижение страховых взносов, отсрочка по кредитам по госпрограмме, отсрочка и освобождение от арендной платы и другое) позволили минимизировать последствия проведенных мероприятий, направленных на недопущение распространения новой </w:t>
      </w:r>
      <w:proofErr w:type="spellStart"/>
      <w:r w:rsidRPr="00A4024D">
        <w:rPr>
          <w:szCs w:val="28"/>
        </w:rPr>
        <w:t>коронавирусной</w:t>
      </w:r>
      <w:proofErr w:type="spellEnd"/>
      <w:r w:rsidRPr="00A4024D">
        <w:rPr>
          <w:szCs w:val="28"/>
        </w:rPr>
        <w:t xml:space="preserve"> инфекции.</w:t>
      </w:r>
      <w:proofErr w:type="gramEnd"/>
      <w:r w:rsidRPr="00A4024D">
        <w:rPr>
          <w:szCs w:val="28"/>
        </w:rPr>
        <w:t xml:space="preserve"> В связи с этим количество индивидуальных предпринимателей в 2020 году уменьшилось на 7,6%, а малых и средних предприятий, включая микро, увеличилось на 1% по сравнению с 2019 годом. Кроме того в связи с введением 01.07.2020 на территории Липецкой области специального налогового режима «Налог на профессиональный доход» в городе Липецке по состоянию на 01.01.2021 зарегистрировано 2817 </w:t>
      </w:r>
      <w:proofErr w:type="spellStart"/>
      <w:r w:rsidRPr="00A4024D">
        <w:rPr>
          <w:szCs w:val="28"/>
        </w:rPr>
        <w:t>самозанятых</w:t>
      </w:r>
      <w:proofErr w:type="spellEnd"/>
      <w:r w:rsidRPr="00A4024D">
        <w:rPr>
          <w:szCs w:val="28"/>
        </w:rPr>
        <w:t>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Наиболее востребованные виды экономической деятельности у </w:t>
      </w:r>
      <w:proofErr w:type="gramStart"/>
      <w:r w:rsidRPr="00A4024D">
        <w:rPr>
          <w:szCs w:val="28"/>
        </w:rPr>
        <w:t>бизнес-сообщества</w:t>
      </w:r>
      <w:proofErr w:type="gramEnd"/>
      <w:r w:rsidRPr="00A4024D">
        <w:rPr>
          <w:szCs w:val="28"/>
        </w:rPr>
        <w:t xml:space="preserve"> представлены ниже.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Отраслевая структура субъектов малого и среднего предпринимательства</w:t>
      </w:r>
      <w:r w:rsidR="001D4A22" w:rsidRPr="00A4024D">
        <w:rPr>
          <w:szCs w:val="28"/>
        </w:rPr>
        <w:t xml:space="preserve"> представлена в таблице 6.1.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</w:p>
    <w:p w:rsidR="001D4A22" w:rsidRPr="00A4024D" w:rsidRDefault="001D4A22" w:rsidP="001D4A22">
      <w:pPr>
        <w:ind w:firstLine="708"/>
        <w:jc w:val="right"/>
        <w:rPr>
          <w:szCs w:val="28"/>
        </w:rPr>
      </w:pPr>
      <w:r w:rsidRPr="00A4024D">
        <w:rPr>
          <w:szCs w:val="28"/>
        </w:rPr>
        <w:t>Таблица 6.1</w:t>
      </w:r>
    </w:p>
    <w:tbl>
      <w:tblPr>
        <w:tblStyle w:val="afb"/>
        <w:tblW w:w="10031" w:type="dxa"/>
        <w:tblLook w:val="04A0" w:firstRow="1" w:lastRow="0" w:firstColumn="1" w:lastColumn="0" w:noHBand="0" w:noVBand="1"/>
      </w:tblPr>
      <w:tblGrid>
        <w:gridCol w:w="4786"/>
        <w:gridCol w:w="2552"/>
        <w:gridCol w:w="2693"/>
      </w:tblGrid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Виды 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Малые и средние предприятия,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Индивидуальные предприниматели, %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32,5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39,9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 xml:space="preserve">Деятельность по операциям с недвижимым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6,4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18,7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7,6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Обрабатывающие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4,9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Транспортировка и 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14,2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6,5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Деятельность административная и сопутствующая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1,4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Деятельность в области гостиниц и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2,8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7,4</w:t>
            </w:r>
          </w:p>
        </w:tc>
      </w:tr>
      <w:tr w:rsidR="00317D39" w:rsidRPr="00A4024D" w:rsidTr="00317D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both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Прочие виды 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9" w:rsidRPr="00A4024D" w:rsidRDefault="00317D39" w:rsidP="001D4A22">
            <w:pPr>
              <w:jc w:val="center"/>
              <w:rPr>
                <w:sz w:val="22"/>
                <w:szCs w:val="28"/>
              </w:rPr>
            </w:pPr>
            <w:r w:rsidRPr="00A4024D">
              <w:rPr>
                <w:sz w:val="22"/>
                <w:szCs w:val="28"/>
              </w:rPr>
              <w:t>8,9</w:t>
            </w:r>
          </w:p>
        </w:tc>
      </w:tr>
    </w:tbl>
    <w:p w:rsidR="00317D39" w:rsidRPr="00A4024D" w:rsidRDefault="00317D39" w:rsidP="00317D39">
      <w:pPr>
        <w:ind w:firstLine="708"/>
        <w:jc w:val="both"/>
        <w:rPr>
          <w:szCs w:val="28"/>
        </w:rPr>
      </w:pP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На сегодняшний день малый и средний бизнес города Липецка представлен практически во всех отраслях экономики. Наиболее популярными видами деятельности малых, средних предприятий и индивидуальных предпринимателей являются: «Оптовая и розничная торговля; ремонт автотранспортных средств и мотоциклов», «Строительство», «Транспортировка и хранение», «Обрабатывающие производства». Здесь трудится порядка 14 тыс. предпринимателей.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За 1 полугодие 2021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28%. </w:t>
      </w:r>
      <w:r w:rsidR="001D4A22" w:rsidRPr="00A4024D">
        <w:rPr>
          <w:szCs w:val="28"/>
        </w:rPr>
        <w:t>Ожидается, что к концу 2021 года показатель составит 29,3%.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lastRenderedPageBreak/>
        <w:t>Для улучшения качества ведения предпринимательской деятельности на территории города Липецка действует развитая система организаций, объединенных в инфраструктуру поддержки субъектов малого и среднего предпринимательства. Наиболее значимой организацией, оказывающей комплексную поддержку и отвечающей актуальным нуждам бизнеса, является липецкий технопарк.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Технопарк имеет развитую инженерную инфраструктуру, оборудованные офисные и производственные помещения, предоставляемые в аренду резидентам по льготной стоимости (выпадающие доходы МБУ «Технопарк Липецк» от сдачи имущества в аренду в 2020 году составили 8,2 млн. рублей).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Технопарк также оказывает комплекс услуг по сопровождению реализуемых </w:t>
      </w:r>
      <w:proofErr w:type="gramStart"/>
      <w:r w:rsidRPr="00A4024D">
        <w:rPr>
          <w:szCs w:val="28"/>
        </w:rPr>
        <w:t>бизнес-проектов</w:t>
      </w:r>
      <w:proofErr w:type="gramEnd"/>
      <w:r w:rsidRPr="00A4024D">
        <w:rPr>
          <w:szCs w:val="28"/>
        </w:rPr>
        <w:t xml:space="preserve">. </w:t>
      </w:r>
      <w:proofErr w:type="gramStart"/>
      <w:r w:rsidRPr="00A4024D">
        <w:rPr>
          <w:szCs w:val="28"/>
        </w:rPr>
        <w:t xml:space="preserve">Все большее количество предпринимателей, ведущих деятельность в научно-производственной, </w:t>
      </w:r>
      <w:proofErr w:type="spellStart"/>
      <w:r w:rsidRPr="00A4024D">
        <w:rPr>
          <w:szCs w:val="28"/>
        </w:rPr>
        <w:t>it</w:t>
      </w:r>
      <w:proofErr w:type="spellEnd"/>
      <w:r w:rsidRPr="00A4024D">
        <w:rPr>
          <w:szCs w:val="28"/>
        </w:rPr>
        <w:t>-сфере и иных, отдают предпочтение производственным площадям, расположенным на его территории.</w:t>
      </w:r>
      <w:proofErr w:type="gramEnd"/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В 2020 году в связи с ростом производств предприятий-резидентов (объем отгруженных товаров собственного производства в 2020 году по отношению к 2019 году вырос на 249,47 млн. рублей или на 20%) произошло увеличение созданных рабочих мест </w:t>
      </w:r>
      <w:proofErr w:type="gramStart"/>
      <w:r w:rsidRPr="00A4024D">
        <w:rPr>
          <w:szCs w:val="28"/>
        </w:rPr>
        <w:t>на</w:t>
      </w:r>
      <w:proofErr w:type="gramEnd"/>
      <w:r w:rsidRPr="00A4024D">
        <w:rPr>
          <w:szCs w:val="28"/>
        </w:rPr>
        <w:t xml:space="preserve"> 151 ед. или на 28%.</w:t>
      </w:r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>В 2020 году объем внебюджетных инвестиций резидентов в основной капитал составил 89,26 млн. рублей, что на 6% меньше 2019 года. В тоже время объем налоговых отчислений резидентов увеличился на 32% и составил 118,0 млн. рублей.</w:t>
      </w:r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>Статус резидента в 2021 году получили следующие компании:</w:t>
      </w:r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- ООО «Новолипецкая испытательная компания» (проект «Организация испытательной лаборатории», объем инвестиций 7 млн. рублей, 12 рабочих мест), </w:t>
      </w:r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>- ООО «</w:t>
      </w:r>
      <w:proofErr w:type="spellStart"/>
      <w:r w:rsidRPr="00A4024D">
        <w:rPr>
          <w:szCs w:val="28"/>
        </w:rPr>
        <w:t>Соурус</w:t>
      </w:r>
      <w:proofErr w:type="spellEnd"/>
      <w:r w:rsidRPr="00A4024D">
        <w:rPr>
          <w:szCs w:val="28"/>
        </w:rPr>
        <w:t>» (проект «Производство источников питания с интеллектуальной защитой от перенапряжения», объем инвестиций 11,4 млн. рублей, 18 рабочих мест),</w:t>
      </w:r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- ООО НТЦ «Быстрая Керамика» (проект «Организация национальной сети </w:t>
      </w:r>
      <w:proofErr w:type="spellStart"/>
      <w:r w:rsidRPr="00A4024D">
        <w:rPr>
          <w:szCs w:val="28"/>
        </w:rPr>
        <w:t>минизаводов</w:t>
      </w:r>
      <w:proofErr w:type="spellEnd"/>
      <w:r w:rsidRPr="00A4024D">
        <w:rPr>
          <w:szCs w:val="28"/>
        </w:rPr>
        <w:t xml:space="preserve"> по выпуску керамических изделий различного назначения на основе </w:t>
      </w:r>
      <w:proofErr w:type="spellStart"/>
      <w:r w:rsidRPr="00A4024D">
        <w:rPr>
          <w:szCs w:val="28"/>
        </w:rPr>
        <w:t>допсидовой</w:t>
      </w:r>
      <w:proofErr w:type="spellEnd"/>
      <w:r w:rsidRPr="00A4024D">
        <w:rPr>
          <w:szCs w:val="28"/>
        </w:rPr>
        <w:t xml:space="preserve"> керамики с использованием метода ВКВС при </w:t>
      </w:r>
      <w:proofErr w:type="spellStart"/>
      <w:r w:rsidRPr="00A4024D">
        <w:rPr>
          <w:szCs w:val="28"/>
        </w:rPr>
        <w:t>массоподготовке</w:t>
      </w:r>
      <w:proofErr w:type="spellEnd"/>
      <w:r w:rsidRPr="00A4024D">
        <w:rPr>
          <w:szCs w:val="28"/>
        </w:rPr>
        <w:t>», объем инвестиций 20 млн. рублей, 12 рабочих мест),</w:t>
      </w:r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>- ООО «</w:t>
      </w:r>
      <w:proofErr w:type="spellStart"/>
      <w:r w:rsidRPr="00A4024D">
        <w:rPr>
          <w:szCs w:val="28"/>
        </w:rPr>
        <w:t>Астекс</w:t>
      </w:r>
      <w:proofErr w:type="spellEnd"/>
      <w:r w:rsidRPr="00A4024D">
        <w:rPr>
          <w:szCs w:val="28"/>
        </w:rPr>
        <w:t xml:space="preserve"> </w:t>
      </w:r>
      <w:proofErr w:type="spellStart"/>
      <w:r w:rsidRPr="00A4024D">
        <w:rPr>
          <w:szCs w:val="28"/>
        </w:rPr>
        <w:t>Индастри</w:t>
      </w:r>
      <w:proofErr w:type="spellEnd"/>
      <w:r w:rsidRPr="00A4024D">
        <w:rPr>
          <w:szCs w:val="28"/>
        </w:rPr>
        <w:t xml:space="preserve">» (проект «Производство комплектующих для </w:t>
      </w:r>
      <w:proofErr w:type="spellStart"/>
      <w:r w:rsidRPr="00A4024D">
        <w:rPr>
          <w:szCs w:val="28"/>
        </w:rPr>
        <w:t>светопрозрачных</w:t>
      </w:r>
      <w:proofErr w:type="spellEnd"/>
      <w:r w:rsidRPr="00A4024D">
        <w:rPr>
          <w:szCs w:val="28"/>
        </w:rPr>
        <w:t xml:space="preserve"> конструкций», объем инвестиций 89 млн. рублей, 101 рабочее место);</w:t>
      </w:r>
    </w:p>
    <w:p w:rsidR="00066459" w:rsidRPr="00A4024D" w:rsidRDefault="00066459" w:rsidP="00066459">
      <w:pPr>
        <w:ind w:firstLine="708"/>
        <w:jc w:val="both"/>
        <w:rPr>
          <w:szCs w:val="28"/>
        </w:rPr>
      </w:pPr>
      <w:r w:rsidRPr="00A4024D">
        <w:rPr>
          <w:szCs w:val="28"/>
        </w:rPr>
        <w:t>- ООО «</w:t>
      </w:r>
      <w:proofErr w:type="spellStart"/>
      <w:r w:rsidRPr="00A4024D">
        <w:rPr>
          <w:szCs w:val="28"/>
        </w:rPr>
        <w:t>ЛетсТрейд</w:t>
      </w:r>
      <w:proofErr w:type="spellEnd"/>
      <w:r w:rsidRPr="00A4024D">
        <w:rPr>
          <w:szCs w:val="28"/>
        </w:rPr>
        <w:t>» (проект «Опытно-конструкторская деятельность по производству пищевых трубочек и прочих изделий, в том числе из бумажного сырья», объем инвестиций 124 млн. рублей, 99 рабочих мест).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В 2020 году представители малого и среднего бизнеса перечислили в доход бюджета города Липецка 960,0 млн. рублей (темп роста к уровню 2019 года 99,6 %). 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По состоянию на 01.07.2021 в бюджет города Липецка от субъектов МСП поступило 619,3 млн. рублей. По уточненному годовому плану </w:t>
      </w:r>
      <w:proofErr w:type="gramStart"/>
      <w:r w:rsidRPr="00A4024D">
        <w:rPr>
          <w:szCs w:val="28"/>
        </w:rPr>
        <w:t>департамента финансов администрации города Липецка</w:t>
      </w:r>
      <w:proofErr w:type="gramEnd"/>
      <w:r w:rsidRPr="00A4024D">
        <w:rPr>
          <w:szCs w:val="28"/>
        </w:rPr>
        <w:t xml:space="preserve"> во 2 полугодии 2021 года доходная </w:t>
      </w:r>
      <w:r w:rsidRPr="00A4024D">
        <w:rPr>
          <w:szCs w:val="28"/>
        </w:rPr>
        <w:lastRenderedPageBreak/>
        <w:t xml:space="preserve">часть бюджета города от перечислений субъектов МСП пополнится на 596, 4 млн. рублей и составит 1215,7 млн. рублей 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В 2022 году, по заявлению главы Липецкой области, в бюджете города Липецка оставят 30% НДФЛ. В связи с этим планируемые поступления от субъектов в бюджет увеличатся на 12% и составят 1362,8 млн. рублей</w:t>
      </w:r>
      <w:r w:rsidR="00A4024D" w:rsidRPr="00A4024D">
        <w:rPr>
          <w:szCs w:val="28"/>
        </w:rPr>
        <w:t xml:space="preserve"> (по базовому варианту прогноза)</w:t>
      </w:r>
      <w:r w:rsidRPr="00A4024D">
        <w:rPr>
          <w:szCs w:val="28"/>
        </w:rPr>
        <w:t>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В соответствии со сценарными условиями в 2022 году ожидается рост покупательского спроса за счет роста заработной платы на 2</w:t>
      </w:r>
      <w:r w:rsidR="00A4024D" w:rsidRPr="00A4024D">
        <w:rPr>
          <w:szCs w:val="28"/>
        </w:rPr>
        <w:t>%, снижения уровня безработицы</w:t>
      </w:r>
      <w:r w:rsidRPr="00A4024D">
        <w:rPr>
          <w:szCs w:val="28"/>
        </w:rPr>
        <w:t>, а также ожидается рост доходов (около 3%) от предпринимательской деятельности. В среднесрочной перспективе инфляция ожидается вблизи целевого уровня в 4%.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Таким образом, рост поступлений налогов в бюджет города Липецка от субъектов малого и среднего предпринимательства прогнозируется в среднем на уровне 6%.     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Проведенный мониторинг данных ЕРСМСП предполагает темп роста количества малых и средних предприятий в 2021 году 100,6%, количества индивидуальных предпринимателей – 105,6%. В связи с этим поступление налогов в бюджет города Липецк от субъектов малого и среднего бизнеса в 2021 году составит 1215,7 млн. рублей. Темп роста (126,6%) объема налоговых поступлений в 2021 году объясняется следующим: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proofErr w:type="gramStart"/>
      <w:r w:rsidRPr="00A4024D">
        <w:rPr>
          <w:szCs w:val="28"/>
        </w:rPr>
        <w:t>- установлением единого для всех городских округов Липецкой области норматива отчислений от налога, взимаемого в связи с применением упрощенной системы налогообложения, в размере 15% (Закон Липецкой области от 04.09.2020 № 423-ОЗ «О внесении изменений в Закон Липецкой области «О нормативах отчислений в местные бюджеты от федеральных и региональных налогов, подлежащих зачислению в областной бюджет»);</w:t>
      </w:r>
      <w:proofErr w:type="gramEnd"/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>-  поступлением единого налога на вмененный доход для отдельных видов деятельности (специальный налоговый режим прекращает действовать с 01.01.2021);</w:t>
      </w:r>
    </w:p>
    <w:p w:rsidR="00317D39" w:rsidRPr="00A4024D" w:rsidRDefault="00317D39" w:rsidP="00317D39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-  увеличением налога, взимаемого в связи с применением патентной системы налогообложения, ввиду отмены альтернативного налогового режима. 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Положительная тенденция развития субъектов малого и среднего бизнеса, включая </w:t>
      </w:r>
      <w:proofErr w:type="spellStart"/>
      <w:r w:rsidRPr="00A4024D">
        <w:rPr>
          <w:szCs w:val="28"/>
        </w:rPr>
        <w:t>микропредприятия</w:t>
      </w:r>
      <w:proofErr w:type="spellEnd"/>
      <w:r w:rsidRPr="00A4024D">
        <w:rPr>
          <w:szCs w:val="28"/>
        </w:rPr>
        <w:t>, по долгосрочному прогнозу сохранится до 2027 года: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>- количество малых и средних предприятий по 1 варианту достигнет 9997 единиц, по 2 варианту – 9917 единиц;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>- количество индивидуальных предпринимателей по 1 варианту составит 13247 единицы, по 2 варианту – 12772 единиц;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>- поступление налогов в бюджет от субъектов малого и среднего бизнеса по 1 варианту достигнет 1865,1 млн. рублей, по 2 варианту – 1788,6 млн. рублей.</w:t>
      </w:r>
    </w:p>
    <w:p w:rsidR="00E03E72" w:rsidRPr="00A4024D" w:rsidRDefault="00E03E72" w:rsidP="00E03E72">
      <w:pPr>
        <w:ind w:firstLine="708"/>
        <w:jc w:val="both"/>
        <w:rPr>
          <w:szCs w:val="28"/>
        </w:rPr>
      </w:pPr>
      <w:r w:rsidRPr="00A4024D">
        <w:rPr>
          <w:szCs w:val="28"/>
        </w:rPr>
        <w:t>Основные показатели малого и среднего предпринимательства города Липецка в 20</w:t>
      </w:r>
      <w:r w:rsidR="008E6DA0" w:rsidRPr="00A4024D">
        <w:rPr>
          <w:szCs w:val="28"/>
        </w:rPr>
        <w:t>20</w:t>
      </w:r>
      <w:r w:rsidRPr="00A4024D">
        <w:rPr>
          <w:szCs w:val="28"/>
        </w:rPr>
        <w:t xml:space="preserve"> году, оценке на 20</w:t>
      </w:r>
      <w:r w:rsidR="008E6DA0" w:rsidRPr="00A4024D">
        <w:rPr>
          <w:szCs w:val="28"/>
        </w:rPr>
        <w:t>21</w:t>
      </w:r>
      <w:r w:rsidRPr="00A4024D">
        <w:rPr>
          <w:szCs w:val="28"/>
        </w:rPr>
        <w:t xml:space="preserve"> год и прогноз на 20</w:t>
      </w:r>
      <w:r w:rsidR="008E6DA0" w:rsidRPr="00A4024D">
        <w:rPr>
          <w:szCs w:val="28"/>
        </w:rPr>
        <w:t>22</w:t>
      </w:r>
      <w:r w:rsidRPr="00A4024D">
        <w:rPr>
          <w:szCs w:val="28"/>
        </w:rPr>
        <w:t>–202</w:t>
      </w:r>
      <w:r w:rsidR="008E6DA0" w:rsidRPr="00A4024D">
        <w:rPr>
          <w:szCs w:val="28"/>
        </w:rPr>
        <w:t>7</w:t>
      </w:r>
      <w:r w:rsidRPr="00A4024D">
        <w:rPr>
          <w:szCs w:val="28"/>
        </w:rPr>
        <w:t xml:space="preserve"> годы приведены в таблице </w:t>
      </w:r>
      <w:r w:rsidR="0044633C" w:rsidRPr="00A4024D">
        <w:rPr>
          <w:szCs w:val="28"/>
        </w:rPr>
        <w:t>6</w:t>
      </w:r>
      <w:r w:rsidRPr="00A4024D">
        <w:rPr>
          <w:szCs w:val="28"/>
        </w:rPr>
        <w:t>.2.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>Достижению запланированных значений будут способствовать следующие мероприятия: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lastRenderedPageBreak/>
        <w:t xml:space="preserve">- популяризация предпринимательства и </w:t>
      </w:r>
      <w:proofErr w:type="spellStart"/>
      <w:r w:rsidRPr="00A4024D">
        <w:rPr>
          <w:szCs w:val="28"/>
        </w:rPr>
        <w:t>самозанятости</w:t>
      </w:r>
      <w:proofErr w:type="spellEnd"/>
      <w:r w:rsidRPr="00A4024D">
        <w:rPr>
          <w:szCs w:val="28"/>
        </w:rPr>
        <w:t>: освещение через средства массовой информации и интернет – ресурсы историй успеха, проведение открытых уроков в учебных учреждениях и другое;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>- оказание имущественной поддержки: предоставление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- предоставление </w:t>
      </w:r>
      <w:proofErr w:type="gramStart"/>
      <w:r w:rsidRPr="00A4024D">
        <w:rPr>
          <w:szCs w:val="28"/>
        </w:rPr>
        <w:t>бизнес-сообществу</w:t>
      </w:r>
      <w:proofErr w:type="gramEnd"/>
      <w:r w:rsidRPr="00A4024D">
        <w:rPr>
          <w:szCs w:val="28"/>
        </w:rPr>
        <w:t xml:space="preserve"> информационных, консультационных услуг по принципу «одного окна», организация и проведение  на базе МБУ «Технопарк-Липецк» совместно с Центром развития предпринимательства  круглых столов, тренингов, семинаров, конференции, форумов с привлечением экспертов федерального, регионального, муниципального и международного уровней;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>- поддержка и содействие развитию инфраструктуры поддержки субъектов малого и среднего предпринимательства – липецкого технопарка;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 xml:space="preserve">- осуществление мероприятий, направленных на развитие </w:t>
      </w:r>
      <w:proofErr w:type="spellStart"/>
      <w:r w:rsidRPr="00A4024D">
        <w:rPr>
          <w:szCs w:val="28"/>
        </w:rPr>
        <w:t>муниципально</w:t>
      </w:r>
      <w:proofErr w:type="spellEnd"/>
      <w:r w:rsidRPr="00A4024D">
        <w:rPr>
          <w:szCs w:val="28"/>
        </w:rPr>
        <w:t xml:space="preserve"> - частного партнерства;</w:t>
      </w:r>
    </w:p>
    <w:p w:rsidR="001D4A22" w:rsidRPr="00A4024D" w:rsidRDefault="001D4A22" w:rsidP="001D4A22">
      <w:pPr>
        <w:ind w:firstLine="708"/>
        <w:jc w:val="both"/>
        <w:rPr>
          <w:szCs w:val="28"/>
        </w:rPr>
      </w:pPr>
      <w:r w:rsidRPr="00A4024D">
        <w:rPr>
          <w:szCs w:val="28"/>
        </w:rPr>
        <w:t>- оказание поддержки организациям и индивидуальным предпринимателям, реализующим социально значимые проекты, и другое.</w:t>
      </w:r>
    </w:p>
    <w:p w:rsidR="00E03E72" w:rsidRPr="00A4024D" w:rsidRDefault="00E03E72" w:rsidP="001D4A22">
      <w:pPr>
        <w:rPr>
          <w:szCs w:val="28"/>
        </w:rPr>
      </w:pPr>
    </w:p>
    <w:p w:rsidR="00E03E72" w:rsidRPr="00A4024D" w:rsidRDefault="00E03E72" w:rsidP="00E03E72">
      <w:pPr>
        <w:jc w:val="right"/>
        <w:rPr>
          <w:szCs w:val="28"/>
        </w:rPr>
      </w:pPr>
      <w:r w:rsidRPr="00A4024D">
        <w:rPr>
          <w:szCs w:val="28"/>
        </w:rPr>
        <w:t xml:space="preserve">Таблица </w:t>
      </w:r>
      <w:r w:rsidR="0044633C" w:rsidRPr="00A4024D">
        <w:rPr>
          <w:szCs w:val="28"/>
        </w:rPr>
        <w:t>6</w:t>
      </w:r>
      <w:r w:rsidRPr="00A4024D">
        <w:rPr>
          <w:szCs w:val="28"/>
        </w:rPr>
        <w:t>.2</w:t>
      </w:r>
    </w:p>
    <w:p w:rsidR="00E03E72" w:rsidRPr="00A4024D" w:rsidRDefault="00E03E72" w:rsidP="00E03E72">
      <w:pPr>
        <w:jc w:val="center"/>
        <w:rPr>
          <w:b/>
          <w:szCs w:val="28"/>
        </w:rPr>
      </w:pPr>
    </w:p>
    <w:p w:rsidR="00E03E72" w:rsidRPr="00A4024D" w:rsidRDefault="00E03E72" w:rsidP="00E03E72">
      <w:pPr>
        <w:jc w:val="center"/>
        <w:rPr>
          <w:b/>
          <w:szCs w:val="28"/>
        </w:rPr>
      </w:pPr>
      <w:r w:rsidRPr="00A4024D">
        <w:rPr>
          <w:b/>
          <w:szCs w:val="28"/>
        </w:rPr>
        <w:t>Основные показатели малого и среднего предпринимательства</w:t>
      </w:r>
    </w:p>
    <w:p w:rsidR="00E03E72" w:rsidRPr="00A4024D" w:rsidRDefault="00E03E72" w:rsidP="00E03E72">
      <w:pPr>
        <w:jc w:val="center"/>
        <w:rPr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709"/>
        <w:gridCol w:w="610"/>
        <w:gridCol w:w="666"/>
        <w:gridCol w:w="567"/>
        <w:gridCol w:w="568"/>
        <w:gridCol w:w="566"/>
        <w:gridCol w:w="567"/>
        <w:gridCol w:w="567"/>
        <w:gridCol w:w="567"/>
        <w:gridCol w:w="568"/>
        <w:gridCol w:w="567"/>
        <w:gridCol w:w="628"/>
        <w:gridCol w:w="619"/>
      </w:tblGrid>
      <w:tr w:rsidR="00E03E72" w:rsidRPr="00A4024D" w:rsidTr="00220EBF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</w:t>
            </w:r>
            <w:r w:rsidR="008E6DA0" w:rsidRPr="00A4024D">
              <w:rPr>
                <w:sz w:val="16"/>
                <w:szCs w:val="16"/>
              </w:rPr>
              <w:t>20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год (факт)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03E72" w:rsidRPr="00A4024D" w:rsidRDefault="00E03E72" w:rsidP="00220EB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20</w:t>
            </w:r>
            <w:r w:rsidR="008E6DA0" w:rsidRPr="00A4024D">
              <w:rPr>
                <w:sz w:val="16"/>
                <w:szCs w:val="16"/>
              </w:rPr>
              <w:t>21</w:t>
            </w:r>
          </w:p>
          <w:p w:rsidR="00E03E72" w:rsidRPr="00A4024D" w:rsidRDefault="00E03E72" w:rsidP="00220EB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год (оценка)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22</w:t>
            </w:r>
            <w:r w:rsidRPr="00A4024D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 прогноз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220EBF">
        <w:trPr>
          <w:trHeight w:val="226"/>
          <w:jc w:val="center"/>
        </w:trPr>
        <w:tc>
          <w:tcPr>
            <w:tcW w:w="1384" w:type="dxa"/>
            <w:vMerge/>
            <w:shd w:val="clear" w:color="auto" w:fill="auto"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9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7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7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E03E72" w:rsidP="00220EBF">
            <w:pPr>
              <w:ind w:right="-107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</w:tr>
      <w:tr w:rsidR="00E03E72" w:rsidRPr="00A4024D" w:rsidTr="00220EBF">
        <w:trPr>
          <w:trHeight w:val="285"/>
          <w:jc w:val="center"/>
        </w:trPr>
        <w:tc>
          <w:tcPr>
            <w:tcW w:w="9861" w:type="dxa"/>
            <w:gridSpan w:val="15"/>
            <w:shd w:val="clear" w:color="auto" w:fill="auto"/>
          </w:tcPr>
          <w:p w:rsidR="00E03E72" w:rsidRPr="00A4024D" w:rsidRDefault="00E03E72" w:rsidP="00220EBF">
            <w:pPr>
              <w:ind w:right="-108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Количество малых и средних предприятий</w:t>
            </w:r>
          </w:p>
        </w:tc>
      </w:tr>
      <w:tr w:rsidR="00E03E72" w:rsidRPr="00A4024D" w:rsidTr="008D60FA">
        <w:trPr>
          <w:trHeight w:val="211"/>
          <w:jc w:val="center"/>
        </w:trPr>
        <w:tc>
          <w:tcPr>
            <w:tcW w:w="1384" w:type="dxa"/>
            <w:shd w:val="clear" w:color="auto" w:fill="auto"/>
          </w:tcPr>
          <w:p w:rsidR="00E03E72" w:rsidRPr="00A4024D" w:rsidRDefault="008D60FA" w:rsidP="00220EBF">
            <w:pPr>
              <w:ind w:right="-108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72" w:rsidRPr="00A4024D" w:rsidRDefault="008D60FA" w:rsidP="008D60FA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9736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E72" w:rsidRPr="00A4024D" w:rsidRDefault="008D60FA" w:rsidP="008D60FA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9795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03E72" w:rsidRPr="00A4024D" w:rsidRDefault="008D60FA" w:rsidP="008D60FA">
            <w:pPr>
              <w:ind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E72" w:rsidRPr="00A4024D" w:rsidRDefault="008D60FA" w:rsidP="008D60FA">
            <w:pPr>
              <w:ind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8D60FA" w:rsidP="008D60FA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9843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8D60FA" w:rsidP="008D60FA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03E72" w:rsidRPr="00A4024D" w:rsidRDefault="008D60FA" w:rsidP="008D60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8D60FA" w:rsidP="008D60FA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8D60FA" w:rsidP="008D60FA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9922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8D60FA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9867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204AC1" w:rsidP="008D60FA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9961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8D60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9897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03E72" w:rsidRPr="00A4024D" w:rsidRDefault="00204AC1" w:rsidP="008D60FA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9997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3E72" w:rsidRPr="00A4024D" w:rsidRDefault="00204AC1" w:rsidP="008D60FA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9917</w:t>
            </w:r>
          </w:p>
        </w:tc>
      </w:tr>
      <w:tr w:rsidR="00E03E72" w:rsidRPr="00A4024D" w:rsidTr="00220EBF">
        <w:trPr>
          <w:jc w:val="center"/>
        </w:trPr>
        <w:tc>
          <w:tcPr>
            <w:tcW w:w="1384" w:type="dxa"/>
            <w:shd w:val="clear" w:color="auto" w:fill="auto"/>
          </w:tcPr>
          <w:p w:rsidR="00E03E72" w:rsidRPr="00A4024D" w:rsidRDefault="00E03E72" w:rsidP="00220EBF">
            <w:pPr>
              <w:ind w:right="-108"/>
              <w:rPr>
                <w:sz w:val="16"/>
                <w:szCs w:val="16"/>
                <w:lang w:val="en-US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72" w:rsidRPr="00A4024D" w:rsidRDefault="008D60FA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E72" w:rsidRPr="00A4024D" w:rsidRDefault="008D60FA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left="-150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8D60FA" w:rsidP="00220EB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D60FA" w:rsidRPr="00A4024D" w:rsidRDefault="008D60FA" w:rsidP="00204AC1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</w:tr>
      <w:tr w:rsidR="00E03E72" w:rsidRPr="00A4024D" w:rsidTr="00220EBF">
        <w:trPr>
          <w:trHeight w:val="273"/>
          <w:jc w:val="center"/>
        </w:trPr>
        <w:tc>
          <w:tcPr>
            <w:tcW w:w="9861" w:type="dxa"/>
            <w:gridSpan w:val="15"/>
            <w:shd w:val="clear" w:color="auto" w:fill="auto"/>
          </w:tcPr>
          <w:p w:rsidR="00E03E72" w:rsidRPr="00A4024D" w:rsidRDefault="00E03E72" w:rsidP="00220EBF">
            <w:pPr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</w:tr>
      <w:tr w:rsidR="00E03E72" w:rsidRPr="00A4024D" w:rsidTr="00204AC1">
        <w:trPr>
          <w:jc w:val="center"/>
        </w:trPr>
        <w:tc>
          <w:tcPr>
            <w:tcW w:w="1384" w:type="dxa"/>
            <w:shd w:val="clear" w:color="auto" w:fill="auto"/>
          </w:tcPr>
          <w:p w:rsidR="00E03E72" w:rsidRPr="00A4024D" w:rsidRDefault="008D60FA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72" w:rsidRPr="00A4024D" w:rsidRDefault="00204AC1" w:rsidP="00204AC1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E72" w:rsidRPr="00A4024D" w:rsidRDefault="00204AC1" w:rsidP="00204AC1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12044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12194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12093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12352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12201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12486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12286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6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12735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6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12397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12975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12583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13247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3E72" w:rsidRPr="00A4024D" w:rsidRDefault="00204AC1" w:rsidP="00204AC1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12772</w:t>
            </w:r>
          </w:p>
        </w:tc>
      </w:tr>
      <w:tr w:rsidR="00E03E72" w:rsidRPr="00A4024D" w:rsidTr="00220EBF">
        <w:trPr>
          <w:trHeight w:val="513"/>
          <w:jc w:val="center"/>
        </w:trPr>
        <w:tc>
          <w:tcPr>
            <w:tcW w:w="1384" w:type="dxa"/>
            <w:shd w:val="clear" w:color="auto" w:fill="auto"/>
          </w:tcPr>
          <w:p w:rsidR="00E03E72" w:rsidRPr="00A4024D" w:rsidRDefault="00E03E72" w:rsidP="00220EBF">
            <w:pPr>
              <w:rPr>
                <w:color w:val="000000"/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  <w:p w:rsidR="00E03E72" w:rsidRPr="00A4024D" w:rsidRDefault="00E03E72" w:rsidP="00220E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3E72" w:rsidRPr="00A4024D" w:rsidRDefault="00204AC1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E72" w:rsidRPr="00A4024D" w:rsidRDefault="00204AC1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101,5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50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101,5</w:t>
            </w:r>
          </w:p>
        </w:tc>
      </w:tr>
      <w:tr w:rsidR="00E03E72" w:rsidRPr="00A4024D" w:rsidTr="00220EBF">
        <w:trPr>
          <w:jc w:val="center"/>
        </w:trPr>
        <w:tc>
          <w:tcPr>
            <w:tcW w:w="9861" w:type="dxa"/>
            <w:gridSpan w:val="15"/>
            <w:shd w:val="clear" w:color="auto" w:fill="auto"/>
          </w:tcPr>
          <w:p w:rsidR="00E03E72" w:rsidRPr="00A4024D" w:rsidRDefault="00E03E72" w:rsidP="00220EBF">
            <w:pPr>
              <w:ind w:right="-65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Поступление налогов в бюджет города от субъектов малого и среднего бизнеса</w:t>
            </w:r>
          </w:p>
        </w:tc>
      </w:tr>
      <w:tr w:rsidR="00E03E72" w:rsidRPr="00A4024D" w:rsidTr="00220EBF">
        <w:trPr>
          <w:jc w:val="center"/>
        </w:trPr>
        <w:tc>
          <w:tcPr>
            <w:tcW w:w="1384" w:type="dxa"/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shd w:val="clear" w:color="auto" w:fill="auto"/>
          </w:tcPr>
          <w:p w:rsidR="00E03E72" w:rsidRPr="00A4024D" w:rsidRDefault="00204AC1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960,0</w:t>
            </w:r>
          </w:p>
        </w:tc>
        <w:tc>
          <w:tcPr>
            <w:tcW w:w="709" w:type="dxa"/>
            <w:shd w:val="clear" w:color="auto" w:fill="auto"/>
          </w:tcPr>
          <w:p w:rsidR="00E03E72" w:rsidRPr="00A4024D" w:rsidRDefault="00204AC1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1215,7</w:t>
            </w:r>
          </w:p>
        </w:tc>
        <w:tc>
          <w:tcPr>
            <w:tcW w:w="610" w:type="dxa"/>
            <w:shd w:val="clear" w:color="auto" w:fill="auto"/>
          </w:tcPr>
          <w:p w:rsidR="00E03E72" w:rsidRPr="00A4024D" w:rsidRDefault="00204AC1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1362,8</w:t>
            </w:r>
          </w:p>
        </w:tc>
        <w:tc>
          <w:tcPr>
            <w:tcW w:w="666" w:type="dxa"/>
            <w:shd w:val="clear" w:color="auto" w:fill="auto"/>
          </w:tcPr>
          <w:p w:rsidR="00E03E72" w:rsidRPr="00A4024D" w:rsidRDefault="00204AC1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1337,3</w:t>
            </w:r>
          </w:p>
        </w:tc>
        <w:tc>
          <w:tcPr>
            <w:tcW w:w="567" w:type="dxa"/>
            <w:shd w:val="clear" w:color="auto" w:fill="auto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1448,6</w:t>
            </w:r>
          </w:p>
        </w:tc>
        <w:tc>
          <w:tcPr>
            <w:tcW w:w="568" w:type="dxa"/>
            <w:shd w:val="clear" w:color="auto" w:fill="auto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1417,0</w:t>
            </w:r>
          </w:p>
        </w:tc>
        <w:tc>
          <w:tcPr>
            <w:tcW w:w="566" w:type="dxa"/>
            <w:shd w:val="clear" w:color="auto" w:fill="auto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1542,7</w:t>
            </w:r>
          </w:p>
        </w:tc>
        <w:tc>
          <w:tcPr>
            <w:tcW w:w="567" w:type="dxa"/>
            <w:shd w:val="clear" w:color="auto" w:fill="auto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1501,4</w:t>
            </w:r>
          </w:p>
        </w:tc>
        <w:tc>
          <w:tcPr>
            <w:tcW w:w="567" w:type="dxa"/>
            <w:shd w:val="clear" w:color="auto" w:fill="auto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1642,9</w:t>
            </w:r>
          </w:p>
        </w:tc>
        <w:tc>
          <w:tcPr>
            <w:tcW w:w="567" w:type="dxa"/>
            <w:shd w:val="clear" w:color="auto" w:fill="auto"/>
          </w:tcPr>
          <w:p w:rsidR="00E03E72" w:rsidRPr="00A4024D" w:rsidRDefault="003819DA" w:rsidP="00220EB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1591,9</w:t>
            </w:r>
          </w:p>
        </w:tc>
        <w:tc>
          <w:tcPr>
            <w:tcW w:w="568" w:type="dxa"/>
            <w:shd w:val="clear" w:color="auto" w:fill="auto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1751,3</w:t>
            </w:r>
          </w:p>
        </w:tc>
        <w:tc>
          <w:tcPr>
            <w:tcW w:w="567" w:type="dxa"/>
            <w:shd w:val="clear" w:color="auto" w:fill="auto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1687,4</w:t>
            </w:r>
          </w:p>
        </w:tc>
        <w:tc>
          <w:tcPr>
            <w:tcW w:w="628" w:type="dxa"/>
            <w:shd w:val="clear" w:color="auto" w:fill="auto"/>
          </w:tcPr>
          <w:p w:rsidR="00E03E72" w:rsidRPr="00A4024D" w:rsidRDefault="003819DA" w:rsidP="00220EBF">
            <w:pPr>
              <w:ind w:left="-108" w:right="-7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1865,1</w:t>
            </w:r>
          </w:p>
        </w:tc>
        <w:tc>
          <w:tcPr>
            <w:tcW w:w="619" w:type="dxa"/>
            <w:shd w:val="clear" w:color="auto" w:fill="auto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1788,6</w:t>
            </w:r>
          </w:p>
        </w:tc>
      </w:tr>
      <w:tr w:rsidR="00E03E72" w:rsidRPr="00A4024D" w:rsidTr="00220EBF">
        <w:trPr>
          <w:jc w:val="center"/>
        </w:trPr>
        <w:tc>
          <w:tcPr>
            <w:tcW w:w="1384" w:type="dxa"/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E72" w:rsidRPr="00A4024D" w:rsidRDefault="00204AC1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E72" w:rsidRPr="00A4024D" w:rsidRDefault="00204AC1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126,6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03E72" w:rsidRPr="00A4024D" w:rsidRDefault="00204AC1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112,1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6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106,0</w:t>
            </w:r>
          </w:p>
        </w:tc>
      </w:tr>
    </w:tbl>
    <w:p w:rsidR="00E03E72" w:rsidRPr="00A4024D" w:rsidRDefault="00E03E72" w:rsidP="00E03E72">
      <w:pPr>
        <w:ind w:left="360"/>
        <w:jc w:val="center"/>
      </w:pPr>
    </w:p>
    <w:p w:rsidR="00BB3173" w:rsidRPr="00A4024D" w:rsidRDefault="00BB3173" w:rsidP="00E03E72">
      <w:pPr>
        <w:ind w:left="709"/>
        <w:jc w:val="center"/>
        <w:rPr>
          <w:lang w:val="en-US"/>
        </w:rPr>
      </w:pPr>
    </w:p>
    <w:p w:rsidR="00E03E72" w:rsidRPr="00A4024D" w:rsidRDefault="0044633C" w:rsidP="00E03E72">
      <w:pPr>
        <w:ind w:left="709"/>
        <w:jc w:val="center"/>
        <w:rPr>
          <w:b/>
        </w:rPr>
      </w:pPr>
      <w:r w:rsidRPr="00A4024D">
        <w:rPr>
          <w:b/>
        </w:rPr>
        <w:t>7</w:t>
      </w:r>
      <w:r w:rsidR="00E03E72" w:rsidRPr="00A4024D">
        <w:rPr>
          <w:b/>
        </w:rPr>
        <w:t>. Строительство и инвестиции</w:t>
      </w:r>
    </w:p>
    <w:p w:rsidR="00E03E72" w:rsidRPr="00A4024D" w:rsidRDefault="00E03E72" w:rsidP="00E03E72">
      <w:pPr>
        <w:ind w:left="720"/>
        <w:jc w:val="both"/>
        <w:rPr>
          <w:szCs w:val="28"/>
        </w:rPr>
      </w:pPr>
    </w:p>
    <w:p w:rsidR="00E03E72" w:rsidRPr="00A4024D" w:rsidRDefault="00E03E72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Инвестиционный процесс является одним из главных инструментов в развитии экономки города.</w:t>
      </w:r>
    </w:p>
    <w:p w:rsidR="00E03E72" w:rsidRPr="00A4024D" w:rsidRDefault="00E03E72" w:rsidP="003E5948">
      <w:pPr>
        <w:ind w:firstLine="709"/>
        <w:jc w:val="both"/>
      </w:pPr>
      <w:r w:rsidRPr="00A4024D">
        <w:lastRenderedPageBreak/>
        <w:t>Инвестиции и</w:t>
      </w:r>
      <w:r w:rsidR="00E23639" w:rsidRPr="00A4024D">
        <w:t>грают</w:t>
      </w:r>
      <w:r w:rsidRPr="00A4024D">
        <w:t xml:space="preserve"> важное </w:t>
      </w:r>
      <w:proofErr w:type="gramStart"/>
      <w:r w:rsidRPr="00A4024D">
        <w:t>значение</w:t>
      </w:r>
      <w:proofErr w:type="gramEnd"/>
      <w:r w:rsidRPr="00A4024D">
        <w:t xml:space="preserve"> как для деятельности отдельных хозяйствующих субъектов, так и для экономического развития муниципального образования и страны в целом. </w:t>
      </w:r>
    </w:p>
    <w:p w:rsidR="00E03E72" w:rsidRPr="00A4024D" w:rsidRDefault="00E03E72" w:rsidP="003E5948">
      <w:pPr>
        <w:ind w:firstLine="709"/>
        <w:jc w:val="both"/>
      </w:pPr>
      <w:r w:rsidRPr="00A4024D">
        <w:t>Экономический рост определяется множеством факторов, важнейшим из которых выступает рост объема инвестиций и повышение их эффективности. Реальное инвестирование играет особую роль в экономическом развитии, так как без него невозможно обновление и расширение основных производственных фондов хозяйствующих субъектов.</w:t>
      </w:r>
    </w:p>
    <w:p w:rsidR="00E03E72" w:rsidRPr="00A4024D" w:rsidRDefault="00E03E72" w:rsidP="003E5948">
      <w:pPr>
        <w:ind w:firstLine="709"/>
        <w:jc w:val="both"/>
      </w:pPr>
      <w:r w:rsidRPr="00A4024D">
        <w:t xml:space="preserve">Уровень инвестиционной активности и диапазон инвестиционной деятельности в значительной мере влияет на эффективность функционирования хозяйствующих субъектов в долгосрочной перспективе, их развитие и конкурентоспособность. </w:t>
      </w:r>
    </w:p>
    <w:p w:rsidR="00E03E72" w:rsidRPr="00A4024D" w:rsidRDefault="00E03E72" w:rsidP="003E5948">
      <w:pPr>
        <w:ind w:firstLine="709"/>
        <w:jc w:val="both"/>
      </w:pPr>
      <w:r w:rsidRPr="00A4024D">
        <w:t>Формирование благоприятного инвестиционного климата, а также возрастающие инвестиционные возможности предприятий предоставляют акционерам и менеджерам обширное поле деятельности для принятия стратегических и оперативных инвестиционных решений.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В 2020 году объем инвестиций в основной капитал по крупным и средним предприятиям города Липецка составил 65,5 млрд. рублей или 105,6% к 2019 году.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Собственные средства предприятий по финансированию инвестиционной деятельности за 2020 год составили 83,7% (без субъектов малого предпринимательства и объема инвестиций, не наблюдаемых прямыми статистическими методами).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Наибольший удельный вес в видовой структуре инвестиций в основной капитал крупных и средних организаций составили инвестиционные вложения </w:t>
      </w:r>
      <w:proofErr w:type="gramStart"/>
      <w:r w:rsidRPr="00A4024D">
        <w:rPr>
          <w:szCs w:val="28"/>
        </w:rPr>
        <w:t>в</w:t>
      </w:r>
      <w:proofErr w:type="gramEnd"/>
      <w:r w:rsidRPr="00A4024D">
        <w:rPr>
          <w:szCs w:val="28"/>
        </w:rPr>
        <w:t>: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- транспортные средства, машины, оборудование, хозяйственный                инвентарь – 47159,1 млн. рублей или 72,0%;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- здания (кроме жилых) и сооружения, расходы на улучшение                       земель – 14519,2 млн. рублей или 22,2%.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Основной объем инвестиционных вложений в промышленном секторе города Липецка в 2020 году направлялся на строительство и реконструкцию производственных корпусов, приобретение нового оборудования и современных технологий. Крупнейшие инвестиционные проекты были осуществлены ПАО «НЛМК»: 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- модернизация доменного и сталеплавильного производства (общий объем инвестиций по проекту: 36 млрд. рублей); 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- строительство агрегата непрерывного горячего </w:t>
      </w:r>
      <w:proofErr w:type="spellStart"/>
      <w:r w:rsidRPr="00A4024D">
        <w:rPr>
          <w:szCs w:val="28"/>
        </w:rPr>
        <w:t>цинкования</w:t>
      </w:r>
      <w:proofErr w:type="spellEnd"/>
      <w:r w:rsidRPr="00A4024D">
        <w:rPr>
          <w:szCs w:val="28"/>
        </w:rPr>
        <w:t xml:space="preserve"> № 5 (общий объем инвестиций по проекту: более 12 млрд. рублей);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- реконструкция машины непрерывного литья заготовок № 9 (общий объем инвестиций по проекту: 12 млрд. рублей) и другие.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В 2020 году инвестиционные программы и проекты осуществлялись и на других предприятиях города. </w:t>
      </w:r>
      <w:proofErr w:type="gramStart"/>
      <w:r w:rsidRPr="00A4024D">
        <w:rPr>
          <w:szCs w:val="28"/>
        </w:rPr>
        <w:t>Объем инвестиций в основной капитал АО «Прогресс» составил 468,0 млн. рублей, ПАО «</w:t>
      </w:r>
      <w:proofErr w:type="spellStart"/>
      <w:r w:rsidRPr="00A4024D">
        <w:rPr>
          <w:szCs w:val="28"/>
        </w:rPr>
        <w:t>Квадра</w:t>
      </w:r>
      <w:proofErr w:type="spellEnd"/>
      <w:r w:rsidRPr="00A4024D">
        <w:rPr>
          <w:szCs w:val="28"/>
        </w:rPr>
        <w:t xml:space="preserve">» – 389,3 млн. рублей, АО «ИНДЕЗИТ ИНТЕРНЭШНЛ» – 284,0 млн. рублей. </w:t>
      </w:r>
      <w:proofErr w:type="gramEnd"/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lastRenderedPageBreak/>
        <w:t>Объем бюджетных инвестиций в основной капитал (без субъектов малого предпринимательства и объема инвестиций, не наблюдаемых прямыми статистическими методами) за январь – декабрь 2020 года составил 5,5 млрд. рублей. Инвестиционные проекты осуществлялись в социальной сфере и в сфере городского хозяйства города Липецка.</w:t>
      </w:r>
    </w:p>
    <w:p w:rsidR="003E5948" w:rsidRPr="00A4024D" w:rsidRDefault="003E5948" w:rsidP="003E5948">
      <w:pPr>
        <w:ind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>В рамках национальных проектов «Жилье и городская среда», «Образование», «Демография» в сфере образования выполнены сл</w:t>
      </w:r>
      <w:r w:rsidR="00100E9E">
        <w:rPr>
          <w:bCs/>
          <w:szCs w:val="28"/>
          <w:lang w:bidi="ru-RU"/>
        </w:rPr>
        <w:t>е</w:t>
      </w:r>
      <w:r w:rsidRPr="00A4024D">
        <w:rPr>
          <w:bCs/>
          <w:szCs w:val="28"/>
          <w:lang w:bidi="ru-RU"/>
        </w:rPr>
        <w:t>дующие мероприятия:</w:t>
      </w:r>
    </w:p>
    <w:p w:rsidR="003E5948" w:rsidRPr="00A4024D" w:rsidRDefault="003E5948" w:rsidP="003E594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>осуществлялось строительство школы в 32-33 микрорайонах на 800 учащихся с бассейном;</w:t>
      </w:r>
    </w:p>
    <w:p w:rsidR="003E5948" w:rsidRPr="00A4024D" w:rsidRDefault="003E5948" w:rsidP="003E594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>завершено начатое в октябре 2017 года строительство школы жилой многоэтажной застройки по ул. 50 лет НЛМК на 800 учащихся с бассейном. С 01 сентября 2020 года в школе осуществляется учебный процесс;</w:t>
      </w:r>
    </w:p>
    <w:p w:rsidR="003E5948" w:rsidRPr="00A4024D" w:rsidRDefault="003E5948" w:rsidP="003E594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>завершено начатое в 2019 году строительство 3 детских садов на 350 мест каждый. В декабре 2020 года проведен аукцион и 11.01.2021 года заключен муниципальный контракт на строительство еще одного детского сада в 32-33 микрорайонах на 280 мест.</w:t>
      </w:r>
    </w:p>
    <w:p w:rsidR="003E5948" w:rsidRPr="00A4024D" w:rsidRDefault="003E5948" w:rsidP="003E5948">
      <w:pPr>
        <w:ind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 xml:space="preserve">В феврале 2020 года в рамках выполнения национального проекта «Демография» при </w:t>
      </w:r>
      <w:proofErr w:type="spellStart"/>
      <w:r w:rsidRPr="00A4024D">
        <w:rPr>
          <w:bCs/>
          <w:szCs w:val="28"/>
          <w:lang w:bidi="ru-RU"/>
        </w:rPr>
        <w:t>софинансировании</w:t>
      </w:r>
      <w:proofErr w:type="spellEnd"/>
      <w:r w:rsidRPr="00A4024D">
        <w:rPr>
          <w:bCs/>
          <w:szCs w:val="28"/>
          <w:lang w:bidi="ru-RU"/>
        </w:rPr>
        <w:t xml:space="preserve"> из федерального, областного и городского бюджетов было начато строительство объекта «Физкультурно-оздоровительный комплекс с бассейном в районе СОШ № 14 в г. Липецке» стоимостью 179,8 млн. рублей со сроком завершения работ в 2021 году. Физкультурно-оздоровительный комплекс рассчитан на одновременную вместимость 80 человек.</w:t>
      </w:r>
    </w:p>
    <w:p w:rsidR="003E5948" w:rsidRPr="00A4024D" w:rsidRDefault="003E5948" w:rsidP="003E5948">
      <w:pPr>
        <w:ind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 xml:space="preserve">В 2020 году разработана проектно-сметная документация на строительство объекта «Физкультурно-оздоровительный комплекс в г. Липецке» (по ул. Титова). </w:t>
      </w:r>
      <w:proofErr w:type="gramStart"/>
      <w:r w:rsidRPr="00A4024D">
        <w:rPr>
          <w:bCs/>
          <w:szCs w:val="28"/>
          <w:lang w:bidi="ru-RU"/>
        </w:rPr>
        <w:t xml:space="preserve">Строительство объекта стоимостью 194,8 млн. рублей планируется выполнить в 2021 году в рамках национального проекта «Демография» при </w:t>
      </w:r>
      <w:proofErr w:type="spellStart"/>
      <w:r w:rsidRPr="00A4024D">
        <w:rPr>
          <w:bCs/>
          <w:szCs w:val="28"/>
          <w:lang w:bidi="ru-RU"/>
        </w:rPr>
        <w:t>софинансировании</w:t>
      </w:r>
      <w:proofErr w:type="spellEnd"/>
      <w:r w:rsidRPr="00A4024D">
        <w:rPr>
          <w:bCs/>
          <w:szCs w:val="28"/>
          <w:lang w:bidi="ru-RU"/>
        </w:rPr>
        <w:t xml:space="preserve"> из федерального, областного и городского бюджетов.</w:t>
      </w:r>
      <w:proofErr w:type="gramEnd"/>
    </w:p>
    <w:p w:rsidR="003E5948" w:rsidRPr="00A4024D" w:rsidRDefault="003E5948" w:rsidP="003E5948">
      <w:pPr>
        <w:ind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 xml:space="preserve">В рамках национального проекта «Жилье и городская среда» выполнено благоустройство 35 общественных территорий на сумму 221,5 млн. рублей. За счет средств инвесторов благоустроено 13 территорий. Реализовано 5 проектов, предложенных территориальным общественным самоуправлением.  </w:t>
      </w:r>
    </w:p>
    <w:p w:rsidR="003E5948" w:rsidRPr="00A4024D" w:rsidRDefault="003E5948" w:rsidP="003E5948">
      <w:pPr>
        <w:ind w:firstLine="709"/>
        <w:jc w:val="both"/>
        <w:rPr>
          <w:bCs/>
          <w:szCs w:val="28"/>
          <w:lang w:bidi="ru-RU"/>
        </w:rPr>
      </w:pPr>
      <w:r w:rsidRPr="00A4024D">
        <w:rPr>
          <w:bCs/>
          <w:szCs w:val="28"/>
          <w:lang w:bidi="ru-RU"/>
        </w:rPr>
        <w:t>В целях повышения доступности оказания первичной медико-санитарной помощи в 2020 году открыто отделение общей врачебной практики (семейной медицины) в микрорайоне  «Университетский» – структурное подразделение ГУЗ «Липецкая городская поликлиника № 7», а также подстанция скорой медицинской помощи.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Для обеспечения устойчивого функционирования и развития коммунальной инфраструктуры города в 2020 году были выполнены следующие работы.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proofErr w:type="spellStart"/>
      <w:r w:rsidRPr="00A4024D">
        <w:rPr>
          <w:szCs w:val="28"/>
        </w:rPr>
        <w:t>Ресурсоснабжающими</w:t>
      </w:r>
      <w:proofErr w:type="spellEnd"/>
      <w:r w:rsidRPr="00A4024D">
        <w:rPr>
          <w:szCs w:val="28"/>
        </w:rPr>
        <w:t xml:space="preserve"> организациями АО «ЛГЭК» и филиалом ПАО «</w:t>
      </w:r>
      <w:proofErr w:type="spellStart"/>
      <w:r w:rsidRPr="00A4024D">
        <w:rPr>
          <w:szCs w:val="28"/>
        </w:rPr>
        <w:t>Квадра</w:t>
      </w:r>
      <w:proofErr w:type="spellEnd"/>
      <w:proofErr w:type="gramStart"/>
      <w:r w:rsidRPr="00A4024D">
        <w:rPr>
          <w:szCs w:val="28"/>
        </w:rPr>
        <w:t>»-</w:t>
      </w:r>
      <w:proofErr w:type="gramEnd"/>
      <w:r w:rsidRPr="00A4024D">
        <w:rPr>
          <w:szCs w:val="28"/>
        </w:rPr>
        <w:t>«Липецкая генерация</w:t>
      </w:r>
      <w:r w:rsidR="00433912">
        <w:rPr>
          <w:szCs w:val="28"/>
        </w:rPr>
        <w:t>»</w:t>
      </w:r>
      <w:bookmarkStart w:id="1" w:name="_GoBack"/>
      <w:bookmarkEnd w:id="1"/>
      <w:r w:rsidRPr="00A4024D">
        <w:rPr>
          <w:szCs w:val="28"/>
        </w:rPr>
        <w:t xml:space="preserve"> отремонтировано: более 27 км тепловых сетей,  оборудование 37 котельных, 5 центральных тепловых пунктов, </w:t>
      </w:r>
      <w:proofErr w:type="spellStart"/>
      <w:r w:rsidRPr="00A4024D">
        <w:rPr>
          <w:szCs w:val="28"/>
        </w:rPr>
        <w:t>техперевооружение</w:t>
      </w:r>
      <w:proofErr w:type="spellEnd"/>
      <w:r w:rsidRPr="00A4024D">
        <w:rPr>
          <w:szCs w:val="28"/>
        </w:rPr>
        <w:t xml:space="preserve"> 8,5 км тепловых сетей.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На электрических сетях и оборудовании энергохозяйства города АО «ЛГЭК» выполнен ремонт: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lastRenderedPageBreak/>
        <w:t>- более 18,5 км участков кабельных и воздушных линий;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- оборудования и ячеек трансформаторных подстанций (172 шт.); 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- 18 силовых трансформаторов;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- 18 ячеек трансформаторных и распределительных подстанций.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Для бесперебойного и надежного водоснабжения города АО «ЛГЭК» отремонтированы кровля 11 объектов водоснабжения и водоотведения, 600 м водопроводной сети.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Более 132 млн. рублей направлено на ремонт внутридомовых трубопроводов системы отопления, кровли, межпанельных швов, ревизию и замену внутридомовой запорной арматуры, остекление оконных проемов.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На объектах социальной сферы выполнены работы: по ремонту систем отопления в 4 учреждениях, замене оконных блоков в 7 образовательных учреждениях, капитальному ремонту кровли в центральной городской библиотеке имени С.А. Есенина на сумму более 27 млн. рублей.</w:t>
      </w:r>
    </w:p>
    <w:p w:rsidR="003E5948" w:rsidRPr="00A4024D" w:rsidRDefault="003E5948" w:rsidP="003E5948">
      <w:pPr>
        <w:ind w:firstLine="709"/>
        <w:jc w:val="both"/>
        <w:rPr>
          <w:bCs/>
          <w:szCs w:val="28"/>
          <w:lang w:bidi="ru-RU"/>
        </w:rPr>
      </w:pPr>
      <w:proofErr w:type="gramStart"/>
      <w:r w:rsidRPr="00A4024D">
        <w:rPr>
          <w:bCs/>
          <w:szCs w:val="28"/>
          <w:lang w:bidi="ru-RU"/>
        </w:rPr>
        <w:t xml:space="preserve">В рамках выполнения мероприятий национального проекта «Безопасные и качественные автомобильные дороги» при </w:t>
      </w:r>
      <w:proofErr w:type="spellStart"/>
      <w:r w:rsidRPr="00A4024D">
        <w:rPr>
          <w:bCs/>
          <w:szCs w:val="28"/>
          <w:lang w:bidi="ru-RU"/>
        </w:rPr>
        <w:t>софинансировании</w:t>
      </w:r>
      <w:proofErr w:type="spellEnd"/>
      <w:r w:rsidRPr="00A4024D">
        <w:rPr>
          <w:bCs/>
          <w:szCs w:val="28"/>
          <w:lang w:bidi="ru-RU"/>
        </w:rPr>
        <w:t xml:space="preserve"> из федерального и областного бюджетов осуществлялось строительство мостового перехода в районе пос. Новая Жизнь, реконструкция ул. Баумана и проспекта Победы.</w:t>
      </w:r>
      <w:proofErr w:type="gramEnd"/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>В прогнозном периоде 2022-2027 годов ожидается увеличение объемов инвестиционных вложений на территории города.</w:t>
      </w:r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>В 2021 году</w:t>
      </w:r>
      <w:r w:rsidRPr="00A4024D">
        <w:rPr>
          <w:szCs w:val="28"/>
        </w:rPr>
        <w:t xml:space="preserve"> </w:t>
      </w:r>
      <w:r w:rsidRPr="00A4024D">
        <w:rPr>
          <w:bCs/>
          <w:szCs w:val="28"/>
        </w:rPr>
        <w:t>ПАО «НЛМК» завершило модернизацию доменной печи № 4 производительностью 2,1 млн. тонн чугуна в год.</w:t>
      </w:r>
      <w:r w:rsidRPr="00A4024D">
        <w:rPr>
          <w:szCs w:val="28"/>
        </w:rPr>
        <w:t xml:space="preserve"> </w:t>
      </w:r>
      <w:r w:rsidRPr="00A4024D">
        <w:rPr>
          <w:bCs/>
          <w:szCs w:val="28"/>
        </w:rPr>
        <w:t>Инвестиции в проект капитального ремонта и модернизации комплекса доменной печи составили более 23 млрд. рублей. </w:t>
      </w:r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>Также в 2021 году ПАО «НЛМК» завершил масштабную экологическую модернизацию сталеплавильного производства. Эмиссия пыли в конвертерном цехе № 2, на который приходится более 60% всего объема производства стали площадки, сокращена в два с половиной раза. Модернизация позволила увеличить производительность цеха на 15% до 10 млн. тонн стали в год с одновременным снижением воздействия на окружающую среду. Объем экологических инвестиций составил более 26 млрд. рублей.</w:t>
      </w:r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 xml:space="preserve">В рамках проведения мероприятий по внедрению современных природоохранных технологий в металлургии и минимизации воздействия производства на окружающую среду между ПАО «НЛМК», Министерством природных ресурсов и экологии Российской Федерации, </w:t>
      </w:r>
      <w:proofErr w:type="spellStart"/>
      <w:r w:rsidRPr="00A4024D">
        <w:rPr>
          <w:bCs/>
          <w:szCs w:val="28"/>
        </w:rPr>
        <w:t>Росприроднадзором</w:t>
      </w:r>
      <w:proofErr w:type="spellEnd"/>
      <w:r w:rsidRPr="00A4024D">
        <w:rPr>
          <w:bCs/>
          <w:szCs w:val="28"/>
        </w:rPr>
        <w:t xml:space="preserve"> и администрацией Липецкой области, в 2019 году подписано соглашение. К настоящему времени в Липецке реализовано пять из девяти запланированных до 2024 года крупномасштабных проектов.</w:t>
      </w:r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 xml:space="preserve"> В июне 2021 года завершена реконструкция Новолипецкого железнодорожного узла, которая длилась больше 2 лет. Объем инвестиций составил более 3 млрд. рублей.</w:t>
      </w:r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>В 2021 году продолжилось строительство и осуществляется монтаж основного технологического оборудования новой электростанции мощностью 300 МВт.</w:t>
      </w:r>
      <w:r w:rsidRPr="00A4024D">
        <w:rPr>
          <w:szCs w:val="28"/>
        </w:rPr>
        <w:t xml:space="preserve"> </w:t>
      </w:r>
      <w:r w:rsidRPr="00A4024D">
        <w:rPr>
          <w:bCs/>
          <w:szCs w:val="28"/>
        </w:rPr>
        <w:t xml:space="preserve">Инвестиции в проект составят 36 млрд. рублей. Пуск электростанции намечен </w:t>
      </w:r>
      <w:proofErr w:type="gramStart"/>
      <w:r w:rsidRPr="00A4024D">
        <w:rPr>
          <w:bCs/>
          <w:szCs w:val="28"/>
        </w:rPr>
        <w:t>на конец</w:t>
      </w:r>
      <w:proofErr w:type="gramEnd"/>
      <w:r w:rsidRPr="00A4024D">
        <w:rPr>
          <w:bCs/>
          <w:szCs w:val="28"/>
        </w:rPr>
        <w:t xml:space="preserve"> 2023 года.</w:t>
      </w:r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lastRenderedPageBreak/>
        <w:t xml:space="preserve">Реализация инвестиционных проектов запланирована и другими предприятиями города Липецка. </w:t>
      </w:r>
      <w:proofErr w:type="gramStart"/>
      <w:r w:rsidRPr="00A4024D">
        <w:rPr>
          <w:bCs/>
          <w:szCs w:val="28"/>
        </w:rPr>
        <w:t>Так, в 2021-202</w:t>
      </w:r>
      <w:r w:rsidR="00A4024D" w:rsidRPr="00A4024D">
        <w:rPr>
          <w:bCs/>
          <w:szCs w:val="28"/>
        </w:rPr>
        <w:t>7</w:t>
      </w:r>
      <w:r w:rsidRPr="00A4024D">
        <w:rPr>
          <w:bCs/>
          <w:szCs w:val="28"/>
        </w:rPr>
        <w:t xml:space="preserve"> год</w:t>
      </w:r>
      <w:r w:rsidR="00A4024D" w:rsidRPr="00A4024D">
        <w:rPr>
          <w:bCs/>
          <w:szCs w:val="28"/>
        </w:rPr>
        <w:t>ах</w:t>
      </w:r>
      <w:r w:rsidRPr="00A4024D">
        <w:rPr>
          <w:bCs/>
          <w:szCs w:val="28"/>
        </w:rPr>
        <w:t xml:space="preserve"> ООО «ЛТК «Свободный сокол» планирует направить более </w:t>
      </w:r>
      <w:r w:rsidR="00A4024D" w:rsidRPr="00A4024D">
        <w:rPr>
          <w:bCs/>
          <w:szCs w:val="28"/>
        </w:rPr>
        <w:t>600</w:t>
      </w:r>
      <w:r w:rsidRPr="00A4024D">
        <w:rPr>
          <w:bCs/>
          <w:szCs w:val="28"/>
        </w:rPr>
        <w:t xml:space="preserve"> млн. р</w:t>
      </w:r>
      <w:r w:rsidR="00A4024D" w:rsidRPr="00A4024D">
        <w:rPr>
          <w:bCs/>
          <w:szCs w:val="28"/>
        </w:rPr>
        <w:t>ублей, ООО ЛПО «Электроаппарат»– свыше 100</w:t>
      </w:r>
      <w:r w:rsidRPr="00A4024D">
        <w:rPr>
          <w:bCs/>
          <w:szCs w:val="28"/>
        </w:rPr>
        <w:t xml:space="preserve"> млн. рублей, ООО «Липецкое станкостроительное предприятие»</w:t>
      </w:r>
      <w:r w:rsidR="00A4024D" w:rsidRPr="00A4024D">
        <w:rPr>
          <w:szCs w:val="28"/>
        </w:rPr>
        <w:t xml:space="preserve"> </w:t>
      </w:r>
      <w:r w:rsidR="00A4024D" w:rsidRPr="00A4024D">
        <w:rPr>
          <w:bCs/>
          <w:szCs w:val="28"/>
        </w:rPr>
        <w:t>–</w:t>
      </w:r>
      <w:r w:rsidRPr="00A4024D">
        <w:rPr>
          <w:bCs/>
          <w:szCs w:val="28"/>
        </w:rPr>
        <w:t xml:space="preserve"> </w:t>
      </w:r>
      <w:r w:rsidR="00A4024D" w:rsidRPr="00A4024D">
        <w:rPr>
          <w:bCs/>
          <w:szCs w:val="28"/>
        </w:rPr>
        <w:t>более 8</w:t>
      </w:r>
      <w:r w:rsidRPr="00A4024D">
        <w:rPr>
          <w:bCs/>
          <w:szCs w:val="28"/>
        </w:rPr>
        <w:t xml:space="preserve">0 млн. рублей. </w:t>
      </w:r>
      <w:proofErr w:type="gramEnd"/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В рамках реализации концессионных соглашений в 2020 году реализованы следующие мероприятия: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 </w:t>
      </w:r>
      <w:proofErr w:type="gramStart"/>
      <w:r w:rsidRPr="00A4024D">
        <w:rPr>
          <w:szCs w:val="28"/>
        </w:rPr>
        <w:t>- Завершена реконструкция здания Бани, расположенного по адресу: г. Липецк, Ударников, д. 12а, площадью 1034,7 кв. м. Объем инвестиций составил 11,6 млн. рублей.</w:t>
      </w:r>
      <w:proofErr w:type="gramEnd"/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- Выполнено строительство спортивного зала со встроенными вспомогательными помещениями в г. Липецке по ул. </w:t>
      </w:r>
      <w:proofErr w:type="spellStart"/>
      <w:r w:rsidRPr="00A4024D">
        <w:rPr>
          <w:szCs w:val="28"/>
        </w:rPr>
        <w:t>Моршанская</w:t>
      </w:r>
      <w:proofErr w:type="spellEnd"/>
      <w:r w:rsidRPr="00A4024D">
        <w:rPr>
          <w:szCs w:val="28"/>
        </w:rPr>
        <w:t>, д. 22а. В марте 2020 года объект был введен в эксплуатацию. Объем инвестиций составил 36,9 млн. рублей.</w:t>
      </w:r>
    </w:p>
    <w:p w:rsidR="003E5948" w:rsidRPr="00A4024D" w:rsidRDefault="003E5948" w:rsidP="003E5948">
      <w:pPr>
        <w:ind w:firstLine="709"/>
        <w:jc w:val="both"/>
        <w:rPr>
          <w:bCs/>
          <w:szCs w:val="28"/>
        </w:rPr>
      </w:pPr>
      <w:r w:rsidRPr="00A4024D">
        <w:rPr>
          <w:bCs/>
          <w:szCs w:val="28"/>
        </w:rPr>
        <w:t>Будет продолжена реализация национальных проектов, так в 2022 году планируется завершить масштабную реконструкцию ул. 50 лет НЛМК, 2025 году в планах завершение реконструкции МУП «Липецкая станция аэрации».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По оценочным данным в 2021 году объем инвестиций в основной капитал за счет всех источников финансирования по крупным и средним организациям составит 67621,3 млн. рублей или 103,2% (в сопоставимых ценах).</w:t>
      </w:r>
    </w:p>
    <w:p w:rsidR="00D469DE" w:rsidRPr="00A4024D" w:rsidRDefault="00D469DE" w:rsidP="00D469DE">
      <w:pPr>
        <w:ind w:firstLine="709"/>
        <w:jc w:val="both"/>
        <w:rPr>
          <w:szCs w:val="28"/>
        </w:rPr>
      </w:pPr>
      <w:r w:rsidRPr="00A4024D">
        <w:rPr>
          <w:szCs w:val="28"/>
        </w:rPr>
        <w:t>Одним из факторов восстановления роста будет положительная динамика инвестиций в строительный комплекс и операции с недвижимым имуществом.</w:t>
      </w:r>
    </w:p>
    <w:p w:rsidR="00D469DE" w:rsidRPr="00A4024D" w:rsidRDefault="00D469DE" w:rsidP="00D469DE">
      <w:pPr>
        <w:ind w:firstLine="709"/>
        <w:jc w:val="both"/>
        <w:rPr>
          <w:szCs w:val="28"/>
        </w:rPr>
      </w:pPr>
      <w:r w:rsidRPr="00A4024D">
        <w:rPr>
          <w:szCs w:val="28"/>
        </w:rPr>
        <w:t>Основными направлениями восстановления инвестиционной активности в обрабатывающей промышленности выступят металлургическое производство и машиностроительный комплекс.</w:t>
      </w:r>
    </w:p>
    <w:p w:rsidR="00D469DE" w:rsidRPr="00A4024D" w:rsidRDefault="00D469DE" w:rsidP="00D469DE">
      <w:pPr>
        <w:ind w:firstLine="709"/>
        <w:jc w:val="both"/>
        <w:rPr>
          <w:szCs w:val="28"/>
        </w:rPr>
      </w:pPr>
      <w:r w:rsidRPr="00A4024D">
        <w:rPr>
          <w:szCs w:val="28"/>
        </w:rPr>
        <w:t>Основными источниками финансирования инвестиционных проектов, обеспечивающих экономический рост города, в основном, останутся собственные средства предприятий и организаций.</w:t>
      </w:r>
    </w:p>
    <w:p w:rsidR="00D469DE" w:rsidRPr="00A4024D" w:rsidRDefault="00D469DE" w:rsidP="00D469DE">
      <w:pPr>
        <w:ind w:firstLine="709"/>
        <w:jc w:val="both"/>
        <w:rPr>
          <w:szCs w:val="28"/>
        </w:rPr>
      </w:pPr>
      <w:r w:rsidRPr="00A4024D">
        <w:t>Градостроительная деятельность нацелена на создание безопасных и благоприятных условий жизнедеятельности населения и производства, ограничение влияния негативного воздействия хозяйственной и иной деятельности на окружающую среду, обеспечение охраны и рационального использования природных ресурсов.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В 2020 году в эксплуатацию было введено 608117 кв. м жилья, что составляет 100,2% по отношению к 2019 году (1,2 кв. м на душу населения). 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Показатель обеспеченности жильем в городе Липецке на 01.01.2021 составил 28,8 кв. м/чел.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Жилищную застройку территории города с привлечением частных инвестиций осуществляют коммерческие строительные организации: АО «ДСК», АО СЗ «</w:t>
      </w:r>
      <w:proofErr w:type="spellStart"/>
      <w:r w:rsidRPr="00A4024D">
        <w:rPr>
          <w:szCs w:val="28"/>
        </w:rPr>
        <w:t>Ремстройсервис</w:t>
      </w:r>
      <w:proofErr w:type="spellEnd"/>
      <w:r w:rsidRPr="00A4024D">
        <w:rPr>
          <w:szCs w:val="28"/>
        </w:rPr>
        <w:t>», ОАО трест «</w:t>
      </w:r>
      <w:proofErr w:type="spellStart"/>
      <w:r w:rsidRPr="00A4024D">
        <w:rPr>
          <w:szCs w:val="28"/>
        </w:rPr>
        <w:t>Липецкстрой</w:t>
      </w:r>
      <w:proofErr w:type="spellEnd"/>
      <w:r w:rsidRPr="00A4024D">
        <w:rPr>
          <w:szCs w:val="28"/>
        </w:rPr>
        <w:t>», ООО «ГЛОБУС ГРУПП», ООО СЗ «</w:t>
      </w:r>
      <w:proofErr w:type="spellStart"/>
      <w:r w:rsidRPr="00A4024D">
        <w:rPr>
          <w:szCs w:val="28"/>
        </w:rPr>
        <w:t>Спецфундаментстрой</w:t>
      </w:r>
      <w:proofErr w:type="spellEnd"/>
      <w:r w:rsidRPr="00A4024D">
        <w:rPr>
          <w:szCs w:val="28"/>
        </w:rPr>
        <w:t>» и другие.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Основными районами комплексной застройки являлись микрорайоны 30-31, 32-33, «Елецкий», «Звездный», «Европейский».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На сегодняшний день сформирован план создания объектов необходимой для инвесторов инфраструктуры на 2021 год, включающий 32 объекта. </w:t>
      </w:r>
      <w:r w:rsidRPr="00A4024D">
        <w:rPr>
          <w:szCs w:val="28"/>
        </w:rPr>
        <w:lastRenderedPageBreak/>
        <w:t xml:space="preserve">Указанным планом </w:t>
      </w:r>
      <w:proofErr w:type="gramStart"/>
      <w:r w:rsidRPr="00A4024D">
        <w:rPr>
          <w:szCs w:val="28"/>
        </w:rPr>
        <w:t>предусматриваются</w:t>
      </w:r>
      <w:proofErr w:type="gramEnd"/>
      <w:r w:rsidRPr="00A4024D">
        <w:rPr>
          <w:szCs w:val="28"/>
        </w:rPr>
        <w:t xml:space="preserve"> в том числе мероприятия по строительству объектов дорожно-транспортной инфраструктуры – 874,0 млн. рублей, благоустройству территорий муниципалитета – 857,4 млн. рублей, а также строительству учреждений образования – 1287 млн. рублей. Общая стоимость работ в 2021 году по созданию и реконструкции объектов, заявленных в документе, составляет более 3 млрд. руб</w:t>
      </w:r>
      <w:r w:rsidR="00D469DE" w:rsidRPr="00A4024D">
        <w:rPr>
          <w:szCs w:val="28"/>
        </w:rPr>
        <w:t>лей</w:t>
      </w:r>
      <w:r w:rsidRPr="00A4024D">
        <w:rPr>
          <w:szCs w:val="28"/>
        </w:rPr>
        <w:t>. Финансирование планируется осуществить за счет средств городского, областного и федерального бюджетов и внебюджетных источников.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Ведутся работы по строительству внутриквартальных проездов в микрорайонах «Университетский», «Елецкий», в районе улиц Опытной, Виктора Музыки и Лебедянского шоссе.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При комплексной застройке наряду с жилыми домами возводятся школы, детские дошкольные учреждения, объекты здравоохранения и торговли.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В периоде 2021-2024 годов планируется завершение строительства школы на 800 мест и ДОУ на 280 мест в микрорайоне «Европейский» и строительство 3 ДОУ. 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proofErr w:type="gramStart"/>
      <w:r w:rsidRPr="00A4024D">
        <w:rPr>
          <w:szCs w:val="28"/>
        </w:rPr>
        <w:t xml:space="preserve">В сфере физической культуры и спорта в 2021-2024 годах планируется строительство универсального физкультурно-оздоровительного комплекса (далее – ФОК) со стадионов в микрорайоне «Елецкий», ФОК в с. </w:t>
      </w:r>
      <w:proofErr w:type="spellStart"/>
      <w:r w:rsidRPr="00A4024D">
        <w:rPr>
          <w:szCs w:val="28"/>
        </w:rPr>
        <w:t>Сселки</w:t>
      </w:r>
      <w:proofErr w:type="spellEnd"/>
      <w:r w:rsidRPr="00A4024D">
        <w:rPr>
          <w:szCs w:val="28"/>
        </w:rPr>
        <w:t xml:space="preserve">, стадиона в микрорайоне «Европейский», ФОК «Ледовый», завершение строительства «Катящиеся камни», и строительство футбольного манежа с бассейном и залом единоборств. </w:t>
      </w:r>
      <w:proofErr w:type="gramEnd"/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В 2021 году планируется завершить строительство операционного блока с отделением анестезиологии и реанимации областного онкологического диспансера и здания для обработки санитарного транспорта ГУЗ «Липецкая областная клиническая больница». Ожидается, что в 2022 году будет введен в эксплуатацию новый поликлинический корпус ГУЗ «Липецка городска детская больница» по ул. Гагарина. 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На удаленной территории Нижнего парка планируется размещение тематического парка аттракционов «</w:t>
      </w:r>
      <w:proofErr w:type="spellStart"/>
      <w:r w:rsidRPr="00A4024D">
        <w:rPr>
          <w:szCs w:val="28"/>
        </w:rPr>
        <w:t>Петропарк</w:t>
      </w:r>
      <w:proofErr w:type="spellEnd"/>
      <w:r w:rsidRPr="00A4024D">
        <w:rPr>
          <w:szCs w:val="28"/>
        </w:rPr>
        <w:t xml:space="preserve">». Реализация данного проекта позволит создать в Липецке уникальный парк аттракционов в стиле </w:t>
      </w:r>
      <w:proofErr w:type="spellStart"/>
      <w:r w:rsidRPr="00A4024D">
        <w:rPr>
          <w:szCs w:val="28"/>
        </w:rPr>
        <w:t>стим</w:t>
      </w:r>
      <w:proofErr w:type="spellEnd"/>
      <w:r w:rsidRPr="00A4024D">
        <w:rPr>
          <w:szCs w:val="28"/>
        </w:rPr>
        <w:t>-панк. На данный момент разработана концепция парка, проведено финансовое исследование, дополнительно проводится маркетинговое исследование и разрабатывается проект планировки территории. Стоимость реализация 1 фазы проекта составит более 400 млн. руб.</w:t>
      </w:r>
    </w:p>
    <w:p w:rsidR="003E5948" w:rsidRPr="00A4024D" w:rsidRDefault="003E5948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В настоящее время в рамках концессионных соглашений рассматривается возможность реконструкции муниципальной бани, расположенной на ул. </w:t>
      </w:r>
      <w:proofErr w:type="spellStart"/>
      <w:r w:rsidRPr="00A4024D">
        <w:rPr>
          <w:szCs w:val="28"/>
        </w:rPr>
        <w:t>Неделина</w:t>
      </w:r>
      <w:proofErr w:type="spellEnd"/>
      <w:r w:rsidRPr="00A4024D">
        <w:rPr>
          <w:szCs w:val="28"/>
        </w:rPr>
        <w:t xml:space="preserve">, а также ведутся предварительные переговоры с инвестором в отношении бани на ул. 40 лет Октября. Также прорабатывается вопрос </w:t>
      </w:r>
      <w:proofErr w:type="gramStart"/>
      <w:r w:rsidRPr="00A4024D">
        <w:rPr>
          <w:szCs w:val="28"/>
        </w:rPr>
        <w:t>модернизации системы наружного освещения территории муниципального образования</w:t>
      </w:r>
      <w:proofErr w:type="gramEnd"/>
      <w:r w:rsidRPr="00A4024D">
        <w:rPr>
          <w:szCs w:val="28"/>
        </w:rPr>
        <w:t xml:space="preserve"> и строительства новой ледовой арены. Планируется применение данного инструмента и при строительстве школ.</w:t>
      </w:r>
    </w:p>
    <w:p w:rsidR="00E03E72" w:rsidRPr="00A4024D" w:rsidRDefault="00E03E72" w:rsidP="003E5948">
      <w:pPr>
        <w:ind w:firstLine="709"/>
        <w:jc w:val="both"/>
        <w:rPr>
          <w:szCs w:val="28"/>
        </w:rPr>
      </w:pPr>
      <w:r w:rsidRPr="00A4024D">
        <w:rPr>
          <w:szCs w:val="28"/>
        </w:rPr>
        <w:t>Рост инвестиций в основной капитал в 20</w:t>
      </w:r>
      <w:r w:rsidR="003E5948" w:rsidRPr="00A4024D">
        <w:rPr>
          <w:szCs w:val="28"/>
        </w:rPr>
        <w:t>22</w:t>
      </w:r>
      <w:r w:rsidRPr="00A4024D">
        <w:rPr>
          <w:szCs w:val="28"/>
        </w:rPr>
        <w:t>–202</w:t>
      </w:r>
      <w:r w:rsidR="003E5948" w:rsidRPr="00A4024D">
        <w:rPr>
          <w:szCs w:val="28"/>
        </w:rPr>
        <w:t>7</w:t>
      </w:r>
      <w:r w:rsidRPr="00A4024D">
        <w:rPr>
          <w:szCs w:val="28"/>
        </w:rPr>
        <w:t xml:space="preserve"> годы будет определяться возможностью наращивания частных инвестиций на фоне сокращения муниципальных расходов.</w:t>
      </w:r>
    </w:p>
    <w:p w:rsidR="00D469DE" w:rsidRPr="00A4024D" w:rsidRDefault="00E03E72" w:rsidP="00D469DE">
      <w:pPr>
        <w:pStyle w:val="aff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A4024D">
        <w:rPr>
          <w:color w:val="000000"/>
          <w:sz w:val="28"/>
          <w:szCs w:val="28"/>
          <w:lang w:bidi="ru-RU"/>
        </w:rPr>
        <w:lastRenderedPageBreak/>
        <w:t xml:space="preserve">В связи со значительными объемами вводимого жилья, что привело к перенасыщению рынка жилой недвижимости, нехваткой собственных оборотных средств при растущей стоимости стройматериалов и </w:t>
      </w:r>
      <w:r w:rsidR="002B2CC6" w:rsidRPr="00A4024D">
        <w:rPr>
          <w:color w:val="000000"/>
          <w:sz w:val="28"/>
          <w:szCs w:val="28"/>
          <w:lang w:bidi="ru-RU"/>
        </w:rPr>
        <w:t>ввод в эксплуатацию</w:t>
      </w:r>
      <w:r w:rsidR="00D469DE" w:rsidRPr="00A4024D">
        <w:rPr>
          <w:color w:val="000000"/>
          <w:sz w:val="28"/>
          <w:szCs w:val="28"/>
          <w:lang w:bidi="ru-RU"/>
        </w:rPr>
        <w:t xml:space="preserve"> основного</w:t>
      </w:r>
      <w:r w:rsidRPr="00A4024D">
        <w:rPr>
          <w:color w:val="000000"/>
          <w:sz w:val="28"/>
          <w:szCs w:val="28"/>
          <w:lang w:bidi="ru-RU"/>
        </w:rPr>
        <w:t xml:space="preserve"> </w:t>
      </w:r>
      <w:r w:rsidR="002B2CC6" w:rsidRPr="00A4024D">
        <w:rPr>
          <w:color w:val="000000"/>
          <w:sz w:val="28"/>
          <w:szCs w:val="28"/>
          <w:lang w:bidi="ru-RU"/>
        </w:rPr>
        <w:t xml:space="preserve">количества </w:t>
      </w:r>
      <w:r w:rsidRPr="00A4024D">
        <w:rPr>
          <w:color w:val="000000"/>
          <w:sz w:val="28"/>
          <w:szCs w:val="28"/>
          <w:lang w:bidi="ru-RU"/>
        </w:rPr>
        <w:t xml:space="preserve">объектов </w:t>
      </w:r>
      <w:r w:rsidR="002B2CC6" w:rsidRPr="00A4024D">
        <w:rPr>
          <w:color w:val="000000"/>
          <w:sz w:val="28"/>
          <w:szCs w:val="28"/>
          <w:lang w:bidi="ru-RU"/>
        </w:rPr>
        <w:t>незавершенного продолжительный период</w:t>
      </w:r>
      <w:r w:rsidRPr="00A4024D">
        <w:rPr>
          <w:color w:val="000000"/>
          <w:sz w:val="28"/>
          <w:szCs w:val="28"/>
          <w:lang w:bidi="ru-RU"/>
        </w:rPr>
        <w:t xml:space="preserve"> строительства в </w:t>
      </w:r>
      <w:r w:rsidR="00D469DE" w:rsidRPr="00A4024D">
        <w:rPr>
          <w:color w:val="000000"/>
          <w:sz w:val="28"/>
          <w:szCs w:val="28"/>
          <w:lang w:bidi="ru-RU"/>
        </w:rPr>
        <w:t>2019-</w:t>
      </w:r>
      <w:r w:rsidRPr="00A4024D">
        <w:rPr>
          <w:color w:val="000000"/>
          <w:sz w:val="28"/>
          <w:szCs w:val="28"/>
          <w:lang w:bidi="ru-RU"/>
        </w:rPr>
        <w:t>20</w:t>
      </w:r>
      <w:r w:rsidR="00D469DE" w:rsidRPr="00A4024D">
        <w:rPr>
          <w:color w:val="000000"/>
          <w:sz w:val="28"/>
          <w:szCs w:val="28"/>
          <w:lang w:bidi="ru-RU"/>
        </w:rPr>
        <w:t>20</w:t>
      </w:r>
      <w:r w:rsidRPr="00A4024D">
        <w:rPr>
          <w:color w:val="000000"/>
          <w:sz w:val="28"/>
          <w:szCs w:val="28"/>
          <w:lang w:bidi="ru-RU"/>
        </w:rPr>
        <w:t xml:space="preserve"> год</w:t>
      </w:r>
      <w:r w:rsidR="00D469DE" w:rsidRPr="00A4024D">
        <w:rPr>
          <w:color w:val="000000"/>
          <w:sz w:val="28"/>
          <w:szCs w:val="28"/>
          <w:lang w:bidi="ru-RU"/>
        </w:rPr>
        <w:t>ах</w:t>
      </w:r>
      <w:r w:rsidRPr="00A4024D">
        <w:rPr>
          <w:color w:val="000000"/>
          <w:sz w:val="28"/>
          <w:szCs w:val="28"/>
          <w:lang w:bidi="ru-RU"/>
        </w:rPr>
        <w:t>, в 20</w:t>
      </w:r>
      <w:r w:rsidR="00D469DE" w:rsidRPr="00A4024D">
        <w:rPr>
          <w:color w:val="000000"/>
          <w:sz w:val="28"/>
          <w:szCs w:val="28"/>
          <w:lang w:bidi="ru-RU"/>
        </w:rPr>
        <w:t>21</w:t>
      </w:r>
      <w:r w:rsidRPr="00A4024D">
        <w:rPr>
          <w:color w:val="000000"/>
          <w:sz w:val="28"/>
          <w:szCs w:val="28"/>
          <w:lang w:bidi="ru-RU"/>
        </w:rPr>
        <w:t xml:space="preserve"> году намечается тенденция спада строительства и ввода в экспл</w:t>
      </w:r>
      <w:r w:rsidR="00D469DE" w:rsidRPr="00A4024D">
        <w:rPr>
          <w:color w:val="000000"/>
          <w:sz w:val="28"/>
          <w:szCs w:val="28"/>
          <w:lang w:bidi="ru-RU"/>
        </w:rPr>
        <w:t>уатацию жилья в городе Липецке.</w:t>
      </w:r>
      <w:proofErr w:type="gramEnd"/>
    </w:p>
    <w:p w:rsidR="00E03E72" w:rsidRPr="00A4024D" w:rsidRDefault="00E03E72" w:rsidP="00D469DE">
      <w:pPr>
        <w:pStyle w:val="aff"/>
        <w:ind w:firstLine="709"/>
        <w:jc w:val="both"/>
        <w:rPr>
          <w:color w:val="000000"/>
          <w:sz w:val="28"/>
          <w:szCs w:val="28"/>
          <w:lang w:bidi="ru-RU"/>
        </w:rPr>
      </w:pPr>
      <w:r w:rsidRPr="00A4024D">
        <w:rPr>
          <w:sz w:val="28"/>
          <w:szCs w:val="28"/>
        </w:rPr>
        <w:t>Основные показатели по объему инвестиций в основной капитал и строительству в городе Липецке в 20</w:t>
      </w:r>
      <w:r w:rsidR="008E6DA0" w:rsidRPr="00A4024D">
        <w:rPr>
          <w:sz w:val="28"/>
          <w:szCs w:val="28"/>
        </w:rPr>
        <w:t>20</w:t>
      </w:r>
      <w:r w:rsidRPr="00A4024D">
        <w:rPr>
          <w:sz w:val="28"/>
          <w:szCs w:val="28"/>
        </w:rPr>
        <w:t xml:space="preserve"> году, оценке 20</w:t>
      </w:r>
      <w:r w:rsidR="008E6DA0" w:rsidRPr="00A4024D">
        <w:rPr>
          <w:sz w:val="28"/>
          <w:szCs w:val="28"/>
        </w:rPr>
        <w:t>21</w:t>
      </w:r>
      <w:r w:rsidRPr="00A4024D">
        <w:rPr>
          <w:sz w:val="28"/>
          <w:szCs w:val="28"/>
        </w:rPr>
        <w:t xml:space="preserve"> года и прогноз на 20</w:t>
      </w:r>
      <w:r w:rsidR="008E6DA0" w:rsidRPr="00A4024D">
        <w:rPr>
          <w:sz w:val="28"/>
          <w:szCs w:val="28"/>
        </w:rPr>
        <w:t>22</w:t>
      </w:r>
      <w:r w:rsidRPr="00A4024D">
        <w:rPr>
          <w:sz w:val="28"/>
          <w:szCs w:val="28"/>
        </w:rPr>
        <w:t>–202</w:t>
      </w:r>
      <w:r w:rsidR="008E6DA0" w:rsidRPr="00A4024D">
        <w:rPr>
          <w:sz w:val="28"/>
          <w:szCs w:val="28"/>
        </w:rPr>
        <w:t>7</w:t>
      </w:r>
      <w:r w:rsidRPr="00A4024D">
        <w:rPr>
          <w:sz w:val="28"/>
          <w:szCs w:val="28"/>
        </w:rPr>
        <w:t xml:space="preserve"> годы приведены в таблице </w:t>
      </w:r>
      <w:r w:rsidR="0044633C" w:rsidRPr="00A4024D">
        <w:rPr>
          <w:sz w:val="28"/>
          <w:szCs w:val="28"/>
        </w:rPr>
        <w:t>7</w:t>
      </w:r>
      <w:r w:rsidRPr="00A4024D">
        <w:rPr>
          <w:sz w:val="28"/>
          <w:szCs w:val="28"/>
        </w:rPr>
        <w:t>.1.</w:t>
      </w:r>
    </w:p>
    <w:p w:rsidR="00E03E72" w:rsidRPr="00A4024D" w:rsidRDefault="00E03E72" w:rsidP="00BB3173">
      <w:pPr>
        <w:tabs>
          <w:tab w:val="left" w:pos="709"/>
        </w:tabs>
        <w:jc w:val="both"/>
        <w:rPr>
          <w:szCs w:val="28"/>
        </w:rPr>
      </w:pP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  <w:r w:rsidRPr="00A4024D">
        <w:rPr>
          <w:szCs w:val="28"/>
        </w:rPr>
        <w:tab/>
      </w:r>
    </w:p>
    <w:p w:rsidR="00E03E72" w:rsidRPr="00A4024D" w:rsidRDefault="00E03E72" w:rsidP="00E03E72">
      <w:pPr>
        <w:jc w:val="right"/>
      </w:pPr>
      <w:r w:rsidRPr="00A4024D">
        <w:t xml:space="preserve">Таблица </w:t>
      </w:r>
      <w:r w:rsidR="0044633C" w:rsidRPr="00A4024D">
        <w:t>7</w:t>
      </w:r>
      <w:r w:rsidRPr="00A4024D">
        <w:t>.1</w:t>
      </w:r>
    </w:p>
    <w:p w:rsidR="00E03E72" w:rsidRPr="00A4024D" w:rsidRDefault="00E03E72" w:rsidP="00E03E72">
      <w:pPr>
        <w:jc w:val="center"/>
        <w:rPr>
          <w:b/>
          <w:szCs w:val="28"/>
        </w:rPr>
      </w:pPr>
    </w:p>
    <w:p w:rsidR="00E03E72" w:rsidRPr="00A4024D" w:rsidRDefault="00E03E72" w:rsidP="00E03E72">
      <w:pPr>
        <w:jc w:val="center"/>
        <w:rPr>
          <w:b/>
          <w:szCs w:val="28"/>
        </w:rPr>
      </w:pPr>
      <w:r w:rsidRPr="00A4024D">
        <w:rPr>
          <w:b/>
          <w:szCs w:val="28"/>
        </w:rPr>
        <w:t xml:space="preserve">Основные показатели по строительству и инвестициям </w:t>
      </w:r>
    </w:p>
    <w:p w:rsidR="00E03E72" w:rsidRPr="00A4024D" w:rsidRDefault="00E03E72" w:rsidP="00E03E72">
      <w:pPr>
        <w:jc w:val="right"/>
        <w:rPr>
          <w:sz w:val="18"/>
          <w:szCs w:val="1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709"/>
        <w:gridCol w:w="710"/>
        <w:gridCol w:w="567"/>
        <w:gridCol w:w="566"/>
        <w:gridCol w:w="566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</w:tblGrid>
      <w:tr w:rsidR="00E03E72" w:rsidRPr="00A4024D" w:rsidTr="00BB3173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 xml:space="preserve">20 </w:t>
            </w:r>
            <w:r w:rsidRPr="00A4024D">
              <w:rPr>
                <w:sz w:val="18"/>
                <w:szCs w:val="18"/>
              </w:rPr>
              <w:t>год (факт)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21</w:t>
            </w:r>
            <w:r w:rsidRPr="00A4024D">
              <w:rPr>
                <w:sz w:val="18"/>
                <w:szCs w:val="18"/>
              </w:rPr>
              <w:t xml:space="preserve"> </w:t>
            </w:r>
          </w:p>
          <w:p w:rsidR="00E03E72" w:rsidRPr="00A4024D" w:rsidRDefault="00E03E72" w:rsidP="00220EB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год (оценка)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8E6DA0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2022</w:t>
            </w:r>
            <w:r w:rsidR="00E03E72"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BB3173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ind w:left="-92" w:right="-12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</w:tr>
      <w:tr w:rsidR="00E03E72" w:rsidRPr="00A4024D" w:rsidTr="00BB3173">
        <w:trPr>
          <w:jc w:val="center"/>
        </w:trPr>
        <w:tc>
          <w:tcPr>
            <w:tcW w:w="100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jc w:val="both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Ввод в действие жилых домов</w:t>
            </w:r>
          </w:p>
        </w:tc>
      </w:tr>
      <w:tr w:rsidR="00E03E72" w:rsidRPr="00A4024D" w:rsidTr="00BB3173">
        <w:trPr>
          <w:trHeight w:val="41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606,1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560,0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405,0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570,0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415</w:t>
            </w:r>
            <w:r w:rsidR="003D5441" w:rsidRPr="00A4024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585,0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430,0</w:t>
            </w:r>
          </w:p>
        </w:tc>
      </w:tr>
      <w:tr w:rsidR="00E03E72" w:rsidRPr="00A4024D" w:rsidTr="00BB3173">
        <w:trPr>
          <w:trHeight w:val="587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sz w:val="18"/>
                <w:szCs w:val="18"/>
              </w:rPr>
              <w:t>в</w:t>
            </w:r>
            <w:proofErr w:type="gramEnd"/>
            <w:r w:rsidRPr="00A4024D">
              <w:rPr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sz w:val="18"/>
                <w:szCs w:val="18"/>
              </w:rPr>
              <w:t>к</w:t>
            </w:r>
            <w:proofErr w:type="gramEnd"/>
            <w:r w:rsidRPr="00A4024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819DA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D5441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101,2</w:t>
            </w:r>
          </w:p>
        </w:tc>
      </w:tr>
      <w:tr w:rsidR="00E03E72" w:rsidRPr="00A4024D" w:rsidTr="00BB3173">
        <w:trPr>
          <w:jc w:val="center"/>
        </w:trPr>
        <w:tc>
          <w:tcPr>
            <w:tcW w:w="100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jc w:val="both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Объем инвестиций в основной капитал*</w:t>
            </w:r>
          </w:p>
        </w:tc>
      </w:tr>
      <w:tr w:rsidR="00E03E72" w:rsidRPr="00A4024D" w:rsidTr="00BB317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млрд.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70,4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89,2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91,7</w:t>
            </w:r>
          </w:p>
        </w:tc>
      </w:tr>
      <w:tr w:rsidR="00E03E72" w:rsidRPr="00A4024D" w:rsidTr="00BB317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BB3173">
            <w:pPr>
              <w:ind w:right="-125"/>
              <w:rPr>
                <w:sz w:val="18"/>
                <w:szCs w:val="18"/>
              </w:rPr>
            </w:pPr>
            <w:proofErr w:type="gramStart"/>
            <w:r w:rsidRPr="00A4024D">
              <w:rPr>
                <w:sz w:val="18"/>
                <w:szCs w:val="18"/>
              </w:rPr>
              <w:t>в</w:t>
            </w:r>
            <w:proofErr w:type="gramEnd"/>
            <w:r w:rsidRPr="00A4024D">
              <w:rPr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sz w:val="18"/>
                <w:szCs w:val="18"/>
              </w:rPr>
              <w:t>к</w:t>
            </w:r>
            <w:proofErr w:type="gramEnd"/>
            <w:r w:rsidRPr="00A4024D">
              <w:rPr>
                <w:sz w:val="18"/>
                <w:szCs w:val="18"/>
              </w:rPr>
              <w:t xml:space="preserve"> </w:t>
            </w:r>
            <w:r w:rsidR="00BB3173" w:rsidRPr="00A4024D">
              <w:rPr>
                <w:sz w:val="18"/>
                <w:szCs w:val="18"/>
              </w:rPr>
              <w:t>п</w:t>
            </w:r>
            <w:r w:rsidRPr="00A4024D">
              <w:rPr>
                <w:sz w:val="18"/>
                <w:szCs w:val="18"/>
              </w:rPr>
              <w:t>редыдущему году 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2C09B5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565BD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565BD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6565BD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103,5</w:t>
            </w:r>
          </w:p>
        </w:tc>
      </w:tr>
      <w:tr w:rsidR="00E03E72" w:rsidRPr="00A4024D" w:rsidTr="00BB3173">
        <w:trPr>
          <w:jc w:val="center"/>
        </w:trPr>
        <w:tc>
          <w:tcPr>
            <w:tcW w:w="100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ind w:right="-107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Объем инвестиций в строительство из бюджетов всех уровней</w:t>
            </w:r>
          </w:p>
        </w:tc>
      </w:tr>
      <w:tr w:rsidR="00E03E72" w:rsidRPr="00A4024D" w:rsidTr="00BB317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2912,7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2242,7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2242,7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1465,4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2242,7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2242,7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2242,7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2242,7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2242,7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1265,7</w:t>
            </w:r>
          </w:p>
        </w:tc>
      </w:tr>
      <w:tr w:rsidR="00E03E72" w:rsidRPr="00A4024D" w:rsidTr="00BB317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sz w:val="18"/>
                <w:szCs w:val="18"/>
              </w:rPr>
              <w:t>в</w:t>
            </w:r>
            <w:proofErr w:type="gramEnd"/>
            <w:r w:rsidRPr="00A4024D">
              <w:rPr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sz w:val="18"/>
                <w:szCs w:val="18"/>
              </w:rPr>
              <w:t>к</w:t>
            </w:r>
            <w:proofErr w:type="gramEnd"/>
            <w:r w:rsidRPr="00A4024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156,1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65,3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4032F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59298B" w:rsidP="00220EB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100,0</w:t>
            </w:r>
          </w:p>
        </w:tc>
      </w:tr>
    </w:tbl>
    <w:p w:rsidR="00E03E72" w:rsidRPr="00A4024D" w:rsidRDefault="00E03E72" w:rsidP="00E03E72">
      <w:pPr>
        <w:rPr>
          <w:color w:val="000000"/>
          <w:sz w:val="20"/>
        </w:rPr>
      </w:pPr>
    </w:p>
    <w:p w:rsidR="00E03E72" w:rsidRPr="00A4024D" w:rsidRDefault="00E03E72" w:rsidP="00E03E72">
      <w:pPr>
        <w:rPr>
          <w:color w:val="000000"/>
          <w:sz w:val="20"/>
        </w:rPr>
      </w:pPr>
      <w:r w:rsidRPr="00A4024D">
        <w:rPr>
          <w:color w:val="000000"/>
          <w:sz w:val="20"/>
        </w:rPr>
        <w:t>*По крупным и средним организациям</w:t>
      </w:r>
    </w:p>
    <w:p w:rsidR="00220EBF" w:rsidRPr="00A4024D" w:rsidRDefault="00220EBF" w:rsidP="00E03E72">
      <w:pPr>
        <w:ind w:firstLine="709"/>
        <w:jc w:val="center"/>
        <w:rPr>
          <w:b/>
        </w:rPr>
      </w:pPr>
    </w:p>
    <w:p w:rsidR="00E03E72" w:rsidRPr="00A4024D" w:rsidRDefault="0044633C" w:rsidP="00E03E72">
      <w:pPr>
        <w:ind w:firstLine="709"/>
        <w:jc w:val="center"/>
        <w:rPr>
          <w:b/>
        </w:rPr>
      </w:pPr>
      <w:r w:rsidRPr="00A4024D">
        <w:rPr>
          <w:b/>
        </w:rPr>
        <w:t>8</w:t>
      </w:r>
      <w:r w:rsidR="00E03E72" w:rsidRPr="00A4024D">
        <w:rPr>
          <w:b/>
        </w:rPr>
        <w:t xml:space="preserve">. </w:t>
      </w:r>
      <w:r w:rsidR="00E03E72" w:rsidRPr="00A4024D">
        <w:rPr>
          <w:b/>
          <w:szCs w:val="28"/>
        </w:rPr>
        <w:t>Транспортная и энергетическая инфраструктура</w:t>
      </w:r>
    </w:p>
    <w:p w:rsidR="00E03E72" w:rsidRPr="00A4024D" w:rsidRDefault="00E03E72" w:rsidP="00E03E72">
      <w:pPr>
        <w:ind w:left="360"/>
        <w:jc w:val="center"/>
        <w:rPr>
          <w:b/>
        </w:rPr>
      </w:pPr>
    </w:p>
    <w:p w:rsidR="00E03E72" w:rsidRPr="00A4024D" w:rsidRDefault="00E03E72" w:rsidP="00E03E72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Транспортная и энергетическая инфраструктура  играет важнейшую роль в экономике города, так как без нее невозможно функционирование всех без  исключения отраслей. </w:t>
      </w:r>
    </w:p>
    <w:p w:rsidR="00E03E72" w:rsidRPr="00A4024D" w:rsidRDefault="00E03E72" w:rsidP="00E03E72">
      <w:pPr>
        <w:ind w:firstLine="709"/>
        <w:jc w:val="both"/>
        <w:rPr>
          <w:color w:val="000000"/>
          <w:szCs w:val="28"/>
        </w:rPr>
      </w:pPr>
      <w:r w:rsidRPr="00A4024D">
        <w:rPr>
          <w:color w:val="000000"/>
          <w:szCs w:val="28"/>
        </w:rPr>
        <w:t>Транспортная инфраструктура современного города как единая система состоит из элементов внешнего и внутригородского транспорта, взаимодействующих между собой и обеспечивающих бесперебойное функционирование городских структур.</w:t>
      </w:r>
    </w:p>
    <w:p w:rsidR="00587DFB" w:rsidRPr="00A4024D" w:rsidRDefault="00587DFB" w:rsidP="00587DFB">
      <w:pPr>
        <w:ind w:firstLine="709"/>
        <w:jc w:val="both"/>
        <w:rPr>
          <w:lang w:bidi="ru-RU"/>
        </w:rPr>
      </w:pPr>
      <w:proofErr w:type="gramStart"/>
      <w:r w:rsidRPr="00A4024D">
        <w:t xml:space="preserve">В 2020 году в рамках </w:t>
      </w:r>
      <w:r w:rsidRPr="00A4024D">
        <w:rPr>
          <w:lang w:bidi="ru-RU"/>
        </w:rPr>
        <w:t xml:space="preserve">выполнения мероприятий национального проекта «Безопасные и качественные автомобильные дороги» при </w:t>
      </w:r>
      <w:proofErr w:type="spellStart"/>
      <w:r w:rsidRPr="00A4024D">
        <w:rPr>
          <w:lang w:bidi="ru-RU"/>
        </w:rPr>
        <w:t>софинансировании</w:t>
      </w:r>
      <w:proofErr w:type="spellEnd"/>
      <w:r w:rsidRPr="00A4024D">
        <w:rPr>
          <w:lang w:bidi="ru-RU"/>
        </w:rPr>
        <w:t xml:space="preserve"> из федерального и областного бюджетов осуществлялось строительство мостового перехода в районе пос. Новая Жизнь, реконструкция ул. Баумана и проспекта Победы, а также выполнен ремонт автомобильных дорог общей площадью 176469,5  кв. м, протяженностью – 11,4 км.</w:t>
      </w:r>
      <w:proofErr w:type="gramEnd"/>
    </w:p>
    <w:p w:rsidR="00587DFB" w:rsidRPr="00A4024D" w:rsidRDefault="00587DFB" w:rsidP="00587DFB">
      <w:pPr>
        <w:ind w:firstLine="709"/>
        <w:jc w:val="both"/>
        <w:rPr>
          <w:lang w:bidi="ru-RU"/>
        </w:rPr>
      </w:pPr>
      <w:r w:rsidRPr="00A4024D">
        <w:rPr>
          <w:lang w:bidi="ru-RU"/>
        </w:rPr>
        <w:lastRenderedPageBreak/>
        <w:t xml:space="preserve">В результате, доля протяженности дорог общего пользования местного значения, отвечающих нормативным требованиям, </w:t>
      </w:r>
      <w:r w:rsidR="00FB2723" w:rsidRPr="00A4024D">
        <w:rPr>
          <w:lang w:bidi="ru-RU"/>
        </w:rPr>
        <w:t>увеличилась</w:t>
      </w:r>
      <w:r w:rsidRPr="00A4024D">
        <w:rPr>
          <w:lang w:bidi="ru-RU"/>
        </w:rPr>
        <w:t xml:space="preserve"> на 2,8 </w:t>
      </w:r>
      <w:proofErr w:type="spellStart"/>
      <w:r w:rsidRPr="00A4024D">
        <w:rPr>
          <w:lang w:bidi="ru-RU"/>
        </w:rPr>
        <w:t>п.п</w:t>
      </w:r>
      <w:proofErr w:type="spellEnd"/>
      <w:r w:rsidRPr="00A4024D">
        <w:rPr>
          <w:lang w:bidi="ru-RU"/>
        </w:rPr>
        <w:t xml:space="preserve">. </w:t>
      </w:r>
      <w:r w:rsidR="00FB2723" w:rsidRPr="00A4024D">
        <w:rPr>
          <w:lang w:bidi="ru-RU"/>
        </w:rPr>
        <w:t>по сравнению с 2019 годом и составила 70,7%</w:t>
      </w:r>
      <w:r w:rsidR="00317D39" w:rsidRPr="00A4024D">
        <w:rPr>
          <w:lang w:bidi="ru-RU"/>
        </w:rPr>
        <w:t xml:space="preserve">, в 2021 году планируется достичь уровня 73,5%. </w:t>
      </w:r>
    </w:p>
    <w:p w:rsidR="00E03E72" w:rsidRPr="00A4024D" w:rsidRDefault="00E03E72" w:rsidP="00E03E72">
      <w:pPr>
        <w:ind w:firstLine="709"/>
        <w:jc w:val="both"/>
        <w:rPr>
          <w:szCs w:val="28"/>
        </w:rPr>
      </w:pPr>
      <w:r w:rsidRPr="00A4024D">
        <w:rPr>
          <w:szCs w:val="28"/>
        </w:rPr>
        <w:t>Протяженность дорог общего пользования с твердым покрытием за 20</w:t>
      </w:r>
      <w:r w:rsidR="00FB2723" w:rsidRPr="00A4024D">
        <w:rPr>
          <w:szCs w:val="28"/>
        </w:rPr>
        <w:t xml:space="preserve">20 </w:t>
      </w:r>
      <w:r w:rsidRPr="00A4024D">
        <w:rPr>
          <w:szCs w:val="28"/>
        </w:rPr>
        <w:t>год составила 0,4</w:t>
      </w:r>
      <w:r w:rsidR="00FB2723" w:rsidRPr="00A4024D">
        <w:rPr>
          <w:szCs w:val="28"/>
        </w:rPr>
        <w:t>75</w:t>
      </w:r>
      <w:r w:rsidRPr="00A4024D">
        <w:rPr>
          <w:szCs w:val="28"/>
        </w:rPr>
        <w:t xml:space="preserve"> тыс. км. </w:t>
      </w:r>
    </w:p>
    <w:p w:rsidR="00E03E72" w:rsidRPr="00A4024D" w:rsidRDefault="00E03E72" w:rsidP="00E03E72">
      <w:pPr>
        <w:ind w:firstLine="709"/>
        <w:jc w:val="both"/>
        <w:rPr>
          <w:szCs w:val="28"/>
        </w:rPr>
      </w:pPr>
      <w:r w:rsidRPr="00A4024D">
        <w:rPr>
          <w:color w:val="000000"/>
          <w:lang w:bidi="ru-RU"/>
        </w:rPr>
        <w:t>По 1 варианту долгосрочного прогноза к 202</w:t>
      </w:r>
      <w:r w:rsidR="00FB2723" w:rsidRPr="00A4024D">
        <w:rPr>
          <w:color w:val="000000"/>
          <w:lang w:bidi="ru-RU"/>
        </w:rPr>
        <w:t>7</w:t>
      </w:r>
      <w:r w:rsidRPr="00A4024D">
        <w:rPr>
          <w:color w:val="000000"/>
          <w:lang w:bidi="ru-RU"/>
        </w:rPr>
        <w:t xml:space="preserve"> году </w:t>
      </w:r>
      <w:r w:rsidRPr="00A4024D">
        <w:rPr>
          <w:szCs w:val="28"/>
        </w:rPr>
        <w:t>протяженность дорог общего пользования с твердым покрытием</w:t>
      </w:r>
      <w:r w:rsidRPr="00A4024D">
        <w:rPr>
          <w:color w:val="000000"/>
          <w:lang w:bidi="ru-RU"/>
        </w:rPr>
        <w:t xml:space="preserve"> составит 0,</w:t>
      </w:r>
      <w:r w:rsidR="00FB2723" w:rsidRPr="00A4024D">
        <w:rPr>
          <w:color w:val="000000"/>
          <w:lang w:bidi="ru-RU"/>
        </w:rPr>
        <w:t>490</w:t>
      </w:r>
      <w:r w:rsidRPr="00A4024D">
        <w:rPr>
          <w:color w:val="000000"/>
          <w:lang w:bidi="ru-RU"/>
        </w:rPr>
        <w:t xml:space="preserve"> </w:t>
      </w:r>
      <w:r w:rsidR="00FB2723" w:rsidRPr="00A4024D">
        <w:rPr>
          <w:szCs w:val="28"/>
        </w:rPr>
        <w:t>тыс. км</w:t>
      </w:r>
      <w:r w:rsidRPr="00A4024D">
        <w:rPr>
          <w:szCs w:val="28"/>
        </w:rPr>
        <w:t xml:space="preserve">, темп роста </w:t>
      </w:r>
      <w:r w:rsidR="00FB2723" w:rsidRPr="00A4024D">
        <w:rPr>
          <w:szCs w:val="28"/>
        </w:rPr>
        <w:t>100,4</w:t>
      </w:r>
      <w:r w:rsidRPr="00A4024D">
        <w:rPr>
          <w:szCs w:val="28"/>
        </w:rPr>
        <w:t>%.</w:t>
      </w:r>
    </w:p>
    <w:p w:rsidR="00E03E72" w:rsidRPr="00A4024D" w:rsidRDefault="00E03E72" w:rsidP="00E03E72">
      <w:pPr>
        <w:ind w:firstLine="709"/>
        <w:jc w:val="both"/>
      </w:pPr>
      <w:r w:rsidRPr="00A4024D">
        <w:rPr>
          <w:color w:val="000000"/>
          <w:lang w:bidi="ru-RU"/>
        </w:rPr>
        <w:t xml:space="preserve">По 2 варианту долгосрочного прогноза к 2024 году </w:t>
      </w:r>
      <w:r w:rsidRPr="00A4024D">
        <w:rPr>
          <w:szCs w:val="28"/>
        </w:rPr>
        <w:t>протяженность дорог общего пользования с твердым покрытием</w:t>
      </w:r>
      <w:r w:rsidRPr="00A4024D">
        <w:rPr>
          <w:color w:val="000000"/>
          <w:lang w:bidi="ru-RU"/>
        </w:rPr>
        <w:t xml:space="preserve"> составит 0,</w:t>
      </w:r>
      <w:r w:rsidR="00FB2723" w:rsidRPr="00A4024D">
        <w:rPr>
          <w:color w:val="000000"/>
          <w:lang w:bidi="ru-RU"/>
        </w:rPr>
        <w:t>489</w:t>
      </w:r>
      <w:r w:rsidRPr="00A4024D">
        <w:rPr>
          <w:color w:val="000000"/>
          <w:lang w:bidi="ru-RU"/>
        </w:rPr>
        <w:t xml:space="preserve"> </w:t>
      </w:r>
      <w:r w:rsidR="00FB2723" w:rsidRPr="00A4024D">
        <w:rPr>
          <w:szCs w:val="28"/>
        </w:rPr>
        <w:t>тыс. км</w:t>
      </w:r>
      <w:r w:rsidRPr="00A4024D">
        <w:rPr>
          <w:szCs w:val="28"/>
        </w:rPr>
        <w:t xml:space="preserve">, темп роста </w:t>
      </w:r>
      <w:r w:rsidR="00FB2723" w:rsidRPr="00A4024D">
        <w:rPr>
          <w:szCs w:val="28"/>
        </w:rPr>
        <w:t>100,4</w:t>
      </w:r>
      <w:r w:rsidRPr="00A4024D">
        <w:rPr>
          <w:szCs w:val="28"/>
        </w:rPr>
        <w:t>%.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На основании данных о фактических потоках энергоресурсов </w:t>
      </w:r>
      <w:proofErr w:type="spellStart"/>
      <w:r w:rsidRPr="00A4024D">
        <w:rPr>
          <w:szCs w:val="28"/>
        </w:rPr>
        <w:t>ресурсоснабжающими</w:t>
      </w:r>
      <w:proofErr w:type="spellEnd"/>
      <w:r w:rsidRPr="00A4024D">
        <w:rPr>
          <w:szCs w:val="28"/>
        </w:rPr>
        <w:t xml:space="preserve"> организациями разработаны программы модернизации и реконструкции коммунального комплекса города Липецка с целью обеспечения качественного и надежного энергоснабжения потребителей в сфере электр</w:t>
      </w:r>
      <w:proofErr w:type="gramStart"/>
      <w:r w:rsidRPr="00A4024D">
        <w:rPr>
          <w:szCs w:val="28"/>
        </w:rPr>
        <w:t>о-</w:t>
      </w:r>
      <w:proofErr w:type="gramEnd"/>
      <w:r w:rsidRPr="00A4024D">
        <w:rPr>
          <w:szCs w:val="28"/>
        </w:rPr>
        <w:t>, газо- и теплоснабжения.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В тепловом хозяйстве строительство новых и перекладка ветхих тепловых сетей осуществляется с целью изменения пропускной способности и повышения надежности теплоснабжения с использованием современных изоляционных материалов. Среди крупных проектов в части </w:t>
      </w:r>
      <w:proofErr w:type="spellStart"/>
      <w:r w:rsidRPr="00A4024D">
        <w:rPr>
          <w:szCs w:val="28"/>
        </w:rPr>
        <w:t>теплосетевого</w:t>
      </w:r>
      <w:proofErr w:type="spellEnd"/>
      <w:r w:rsidRPr="00A4024D">
        <w:rPr>
          <w:szCs w:val="28"/>
        </w:rPr>
        <w:t xml:space="preserve"> хозяйства – строительство новых жилых районов города, строительство новых теплосетей в рамках программы </w:t>
      </w:r>
      <w:proofErr w:type="spellStart"/>
      <w:r w:rsidRPr="00A4024D">
        <w:rPr>
          <w:szCs w:val="28"/>
        </w:rPr>
        <w:t>техприсоединения</w:t>
      </w:r>
      <w:proofErr w:type="spellEnd"/>
      <w:r w:rsidRPr="00A4024D">
        <w:rPr>
          <w:szCs w:val="28"/>
        </w:rPr>
        <w:t xml:space="preserve"> новых потребителей, ремонтные работы в производственных подразделениях </w:t>
      </w:r>
      <w:proofErr w:type="gramStart"/>
      <w:r w:rsidRPr="00A4024D">
        <w:rPr>
          <w:szCs w:val="28"/>
        </w:rPr>
        <w:t>Липецкая</w:t>
      </w:r>
      <w:proofErr w:type="gramEnd"/>
      <w:r w:rsidRPr="00A4024D">
        <w:rPr>
          <w:szCs w:val="28"/>
        </w:rPr>
        <w:t xml:space="preserve"> ТЭЦ-2 (ПП ЛТЭЦ-2) и Липецкие тепловые сети (ПП ЛТС) в размере 327,</w:t>
      </w:r>
      <w:r w:rsidR="00A4024D" w:rsidRPr="00A4024D">
        <w:rPr>
          <w:szCs w:val="28"/>
        </w:rPr>
        <w:t>5</w:t>
      </w:r>
      <w:r w:rsidRPr="00A4024D">
        <w:rPr>
          <w:szCs w:val="28"/>
        </w:rPr>
        <w:t xml:space="preserve"> млн. руб</w:t>
      </w:r>
      <w:r w:rsidR="00A4024D" w:rsidRPr="00A4024D">
        <w:rPr>
          <w:szCs w:val="28"/>
        </w:rPr>
        <w:t>лей</w:t>
      </w:r>
      <w:r w:rsidRPr="00A4024D">
        <w:rPr>
          <w:szCs w:val="28"/>
        </w:rPr>
        <w:t xml:space="preserve">. В перечень работ включены капитальные и текущие ремонты генераторов, парового котла, паровой турбины и водогрейного котла. 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>Реализация включенных в Схему теплоснабжения мероприятий по развитию системы теплоснабжения, по достижению плановых значений показателей надежности и энергетической эффективности объектов теплоснабжения осуществляется в соответствии с инвестиционными программами теплоснабжающих организаций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Строительство новых сетей газоснабжения выполняются в рамках программ по энергосбережению, реализация которых позволяет высвобождать значительные </w:t>
      </w:r>
      <w:proofErr w:type="spellStart"/>
      <w:r w:rsidRPr="00A4024D">
        <w:rPr>
          <w:szCs w:val="28"/>
        </w:rPr>
        <w:t>объенмы</w:t>
      </w:r>
      <w:proofErr w:type="spellEnd"/>
      <w:r w:rsidRPr="00A4024D">
        <w:rPr>
          <w:szCs w:val="28"/>
        </w:rPr>
        <w:t xml:space="preserve"> газа и перераспределять их на нужды вновь построенных объектов соцкультбыта и </w:t>
      </w:r>
      <w:proofErr w:type="spellStart"/>
      <w:r w:rsidRPr="00A4024D">
        <w:rPr>
          <w:szCs w:val="28"/>
        </w:rPr>
        <w:t>газофицирующихся</w:t>
      </w:r>
      <w:proofErr w:type="spellEnd"/>
      <w:r w:rsidRPr="00A4024D">
        <w:rPr>
          <w:szCs w:val="28"/>
        </w:rPr>
        <w:t xml:space="preserve"> квартир и частных домовладений на территории города Липецка.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>Согласно Программе газификации и реконструкции газораспределительных сетей Липецкой области будут выполнены следующие мероприятия по городу Липецку: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 1) </w:t>
      </w:r>
      <w:r w:rsidR="001B5C2F">
        <w:rPr>
          <w:szCs w:val="28"/>
        </w:rPr>
        <w:t>с</w:t>
      </w:r>
      <w:r w:rsidRPr="00A4024D">
        <w:rPr>
          <w:szCs w:val="28"/>
        </w:rPr>
        <w:t xml:space="preserve">троительно-монтажные работы газопровода высокого давления с ШРП, среднего давления до СО Сокол-3, </w:t>
      </w:r>
      <w:proofErr w:type="spellStart"/>
      <w:r w:rsidRPr="00A4024D">
        <w:rPr>
          <w:szCs w:val="28"/>
        </w:rPr>
        <w:t>ПОПиИ</w:t>
      </w:r>
      <w:proofErr w:type="spellEnd"/>
      <w:r w:rsidRPr="00A4024D">
        <w:rPr>
          <w:szCs w:val="28"/>
        </w:rPr>
        <w:t xml:space="preserve"> «Сокол-1», </w:t>
      </w:r>
      <w:proofErr w:type="gramStart"/>
      <w:r w:rsidRPr="00A4024D">
        <w:rPr>
          <w:szCs w:val="28"/>
        </w:rPr>
        <w:t>СТ</w:t>
      </w:r>
      <w:proofErr w:type="gramEnd"/>
      <w:r w:rsidRPr="00A4024D">
        <w:rPr>
          <w:szCs w:val="28"/>
        </w:rPr>
        <w:t xml:space="preserve"> «Строитель»;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2) </w:t>
      </w:r>
      <w:r w:rsidR="001B5C2F">
        <w:rPr>
          <w:szCs w:val="28"/>
        </w:rPr>
        <w:t>п</w:t>
      </w:r>
      <w:r w:rsidRPr="00A4024D">
        <w:rPr>
          <w:szCs w:val="28"/>
        </w:rPr>
        <w:t xml:space="preserve">роектно-изыскательские работы </w:t>
      </w:r>
      <w:proofErr w:type="spellStart"/>
      <w:r w:rsidRPr="00A4024D">
        <w:rPr>
          <w:szCs w:val="28"/>
        </w:rPr>
        <w:t>закольцовочного</w:t>
      </w:r>
      <w:proofErr w:type="spellEnd"/>
      <w:r w:rsidRPr="00A4024D">
        <w:rPr>
          <w:szCs w:val="28"/>
        </w:rPr>
        <w:t xml:space="preserve"> газопровода высокого давления от ГРС «Липецк-4» </w:t>
      </w:r>
      <w:proofErr w:type="gramStart"/>
      <w:r w:rsidRPr="00A4024D">
        <w:rPr>
          <w:szCs w:val="28"/>
        </w:rPr>
        <w:t>до</w:t>
      </w:r>
      <w:proofErr w:type="gramEnd"/>
      <w:r w:rsidRPr="00A4024D">
        <w:rPr>
          <w:szCs w:val="28"/>
        </w:rPr>
        <w:t xml:space="preserve"> с. Желтые Пески;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lastRenderedPageBreak/>
        <w:t xml:space="preserve">3) </w:t>
      </w:r>
      <w:r w:rsidR="001B5C2F">
        <w:rPr>
          <w:szCs w:val="28"/>
        </w:rPr>
        <w:t>п</w:t>
      </w:r>
      <w:r w:rsidRPr="00A4024D">
        <w:rPr>
          <w:szCs w:val="28"/>
        </w:rPr>
        <w:t>роектно-изыскательские работы газификации малоэтажной застройки в районе с. Желтые Пески (68 га) 2-я очередь;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4) </w:t>
      </w:r>
      <w:r w:rsidR="001B5C2F">
        <w:rPr>
          <w:szCs w:val="28"/>
        </w:rPr>
        <w:t>п</w:t>
      </w:r>
      <w:r w:rsidRPr="00A4024D">
        <w:rPr>
          <w:szCs w:val="28"/>
        </w:rPr>
        <w:t>роектно-изыскательские работы газификации индивидуальной жилой застройки в районе пер. Бодрый (Желтые Пески), г. Липецк (3-я очередь);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proofErr w:type="gramStart"/>
      <w:r w:rsidRPr="00A4024D">
        <w:rPr>
          <w:szCs w:val="28"/>
        </w:rPr>
        <w:t xml:space="preserve">5) </w:t>
      </w:r>
      <w:r w:rsidR="001B5C2F">
        <w:rPr>
          <w:szCs w:val="28"/>
        </w:rPr>
        <w:t>с</w:t>
      </w:r>
      <w:r w:rsidRPr="00A4024D">
        <w:rPr>
          <w:szCs w:val="28"/>
        </w:rPr>
        <w:t>троительно-монтажные работы газопровода высокого давления с ШРП, низкого давления в районе ул. Российской и 70 лет Октября г. Липецка;</w:t>
      </w:r>
      <w:proofErr w:type="gramEnd"/>
    </w:p>
    <w:p w:rsidR="00FB2723" w:rsidRPr="00A4024D" w:rsidRDefault="00FB2723" w:rsidP="00FB2723">
      <w:pPr>
        <w:ind w:firstLine="709"/>
        <w:jc w:val="both"/>
        <w:rPr>
          <w:szCs w:val="28"/>
        </w:rPr>
      </w:pPr>
      <w:proofErr w:type="gramStart"/>
      <w:r w:rsidRPr="00A4024D">
        <w:rPr>
          <w:szCs w:val="28"/>
        </w:rPr>
        <w:t xml:space="preserve">6) </w:t>
      </w:r>
      <w:r w:rsidR="001B5C2F">
        <w:rPr>
          <w:szCs w:val="28"/>
        </w:rPr>
        <w:t>п</w:t>
      </w:r>
      <w:r w:rsidRPr="00A4024D">
        <w:rPr>
          <w:szCs w:val="28"/>
        </w:rPr>
        <w:t>роектно-изыскательские работы газопровода высокого давления с ШРП, низкого давления в районе ул. Известковой, г. Липецка;</w:t>
      </w:r>
      <w:proofErr w:type="gramEnd"/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7) </w:t>
      </w:r>
      <w:r w:rsidR="001B5C2F">
        <w:rPr>
          <w:szCs w:val="28"/>
        </w:rPr>
        <w:t>с</w:t>
      </w:r>
      <w:r w:rsidRPr="00A4024D">
        <w:rPr>
          <w:szCs w:val="28"/>
        </w:rPr>
        <w:t>троительно-монтажные работы газопровода по пер. Дружный г. Липецк;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8) </w:t>
      </w:r>
      <w:r w:rsidR="001B5C2F">
        <w:rPr>
          <w:szCs w:val="28"/>
        </w:rPr>
        <w:t>с</w:t>
      </w:r>
      <w:r w:rsidRPr="00A4024D">
        <w:rPr>
          <w:szCs w:val="28"/>
        </w:rPr>
        <w:t xml:space="preserve">троительно-монтажные работы газопровода по ул. </w:t>
      </w:r>
      <w:proofErr w:type="gramStart"/>
      <w:r w:rsidRPr="00A4024D">
        <w:rPr>
          <w:szCs w:val="28"/>
        </w:rPr>
        <w:t>Опытная</w:t>
      </w:r>
      <w:proofErr w:type="gramEnd"/>
      <w:r w:rsidRPr="00A4024D">
        <w:rPr>
          <w:szCs w:val="28"/>
        </w:rPr>
        <w:t xml:space="preserve"> (ж.д.5, 27, 27а) г. Липецк. 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>Проектирование и строительство сетей электроснабжения на территории города Липецка выполняются за счет средств инвестиционных программ филиала ПАО «МРСК Центра</w:t>
      </w:r>
      <w:proofErr w:type="gramStart"/>
      <w:r w:rsidRPr="00A4024D">
        <w:rPr>
          <w:szCs w:val="28"/>
        </w:rPr>
        <w:t>»-</w:t>
      </w:r>
      <w:proofErr w:type="gramEnd"/>
      <w:r w:rsidRPr="00A4024D">
        <w:rPr>
          <w:szCs w:val="28"/>
        </w:rPr>
        <w:t>«Липецкэнерго» и АО «ЛГЭК». В целях модернизации объектов электросетевого комплекса, предназначенного для энергоснабжения потребителей, расположенных на территориях садоводческих неко</w:t>
      </w:r>
      <w:r w:rsidR="00317D39" w:rsidRPr="00A4024D">
        <w:rPr>
          <w:szCs w:val="28"/>
        </w:rPr>
        <w:t xml:space="preserve">ммерческих товариществ (далее – </w:t>
      </w:r>
      <w:r w:rsidRPr="00A4024D">
        <w:rPr>
          <w:szCs w:val="28"/>
        </w:rPr>
        <w:t xml:space="preserve">СНТ), на условиях </w:t>
      </w:r>
      <w:proofErr w:type="spellStart"/>
      <w:r w:rsidRPr="00A4024D">
        <w:rPr>
          <w:szCs w:val="28"/>
        </w:rPr>
        <w:t>софинансирования</w:t>
      </w:r>
      <w:proofErr w:type="spellEnd"/>
      <w:r w:rsidRPr="00A4024D">
        <w:rPr>
          <w:szCs w:val="28"/>
        </w:rPr>
        <w:t xml:space="preserve"> с областным бюджетом реализовываются следующие мероприятия: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- </w:t>
      </w:r>
      <w:r w:rsidR="001B5C2F">
        <w:rPr>
          <w:szCs w:val="28"/>
        </w:rPr>
        <w:t>р</w:t>
      </w:r>
      <w:r w:rsidRPr="00A4024D">
        <w:rPr>
          <w:szCs w:val="28"/>
        </w:rPr>
        <w:t xml:space="preserve">еконструкция сетей электроснабжения ВЛ-0,4 </w:t>
      </w:r>
      <w:proofErr w:type="spellStart"/>
      <w:r w:rsidRPr="00A4024D">
        <w:rPr>
          <w:szCs w:val="28"/>
        </w:rPr>
        <w:t>кВ</w:t>
      </w:r>
      <w:proofErr w:type="spellEnd"/>
      <w:r w:rsidRPr="00A4024D">
        <w:rPr>
          <w:szCs w:val="28"/>
        </w:rPr>
        <w:t xml:space="preserve">, ВЛ-10 </w:t>
      </w:r>
      <w:proofErr w:type="spellStart"/>
      <w:r w:rsidRPr="00A4024D">
        <w:rPr>
          <w:szCs w:val="28"/>
        </w:rPr>
        <w:t>кВ</w:t>
      </w:r>
      <w:proofErr w:type="spellEnd"/>
      <w:r w:rsidR="001B5C2F">
        <w:rPr>
          <w:szCs w:val="28"/>
        </w:rPr>
        <w:t xml:space="preserve">, КТП-10/0,4 </w:t>
      </w:r>
      <w:proofErr w:type="spellStart"/>
      <w:r w:rsidR="001B5C2F">
        <w:rPr>
          <w:szCs w:val="28"/>
        </w:rPr>
        <w:t>кВ</w:t>
      </w:r>
      <w:proofErr w:type="spellEnd"/>
      <w:r w:rsidR="001B5C2F">
        <w:rPr>
          <w:szCs w:val="28"/>
        </w:rPr>
        <w:t xml:space="preserve"> СНТ «Дачный-4».;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 xml:space="preserve">- </w:t>
      </w:r>
      <w:r w:rsidR="001B5C2F">
        <w:rPr>
          <w:szCs w:val="28"/>
        </w:rPr>
        <w:t>р</w:t>
      </w:r>
      <w:r w:rsidRPr="00A4024D">
        <w:rPr>
          <w:szCs w:val="28"/>
        </w:rPr>
        <w:t xml:space="preserve">еконструкция сетей электроснабжения ВЛ-0,4 </w:t>
      </w:r>
      <w:proofErr w:type="spellStart"/>
      <w:r w:rsidRPr="00A4024D">
        <w:rPr>
          <w:szCs w:val="28"/>
        </w:rPr>
        <w:t>кВ</w:t>
      </w:r>
      <w:proofErr w:type="spellEnd"/>
      <w:r w:rsidRPr="00A4024D">
        <w:rPr>
          <w:szCs w:val="28"/>
        </w:rPr>
        <w:t xml:space="preserve">, ВЛ-10 </w:t>
      </w:r>
      <w:proofErr w:type="spellStart"/>
      <w:r w:rsidRPr="00A4024D">
        <w:rPr>
          <w:szCs w:val="28"/>
        </w:rPr>
        <w:t>кВ</w:t>
      </w:r>
      <w:proofErr w:type="spellEnd"/>
      <w:r w:rsidRPr="00A4024D">
        <w:rPr>
          <w:szCs w:val="28"/>
        </w:rPr>
        <w:t xml:space="preserve">, КТП-10/0,4 </w:t>
      </w:r>
      <w:proofErr w:type="spellStart"/>
      <w:r w:rsidRPr="00A4024D">
        <w:rPr>
          <w:szCs w:val="28"/>
        </w:rPr>
        <w:t>кВ</w:t>
      </w:r>
      <w:proofErr w:type="spellEnd"/>
      <w:r w:rsidRPr="00A4024D">
        <w:rPr>
          <w:szCs w:val="28"/>
        </w:rPr>
        <w:t xml:space="preserve"> СНТ «Дачный-5».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>Стратегическое развитие коммунальной инфраструктуры в соответствии с требованиями перспективного развития города позволит предоставлять населению услуги электр</w:t>
      </w:r>
      <w:proofErr w:type="gramStart"/>
      <w:r w:rsidRPr="00A4024D">
        <w:rPr>
          <w:szCs w:val="28"/>
        </w:rPr>
        <w:t>о-</w:t>
      </w:r>
      <w:proofErr w:type="gramEnd"/>
      <w:r w:rsidRPr="00A4024D">
        <w:rPr>
          <w:szCs w:val="28"/>
        </w:rPr>
        <w:t>, газо- и теплоснабжения, обеспечивающие максимальную комфортность проживания.</w:t>
      </w:r>
    </w:p>
    <w:p w:rsidR="00FB2723" w:rsidRPr="00A4024D" w:rsidRDefault="00FB2723" w:rsidP="00FB2723">
      <w:pPr>
        <w:ind w:firstLine="709"/>
        <w:jc w:val="both"/>
        <w:rPr>
          <w:szCs w:val="28"/>
        </w:rPr>
      </w:pPr>
      <w:r w:rsidRPr="00A4024D">
        <w:rPr>
          <w:szCs w:val="28"/>
        </w:rPr>
        <w:t>К тому же повысит надежность энергоснабжения, снизит число и время перерывов электр</w:t>
      </w:r>
      <w:proofErr w:type="gramStart"/>
      <w:r w:rsidRPr="00A4024D">
        <w:rPr>
          <w:szCs w:val="28"/>
        </w:rPr>
        <w:t>о-</w:t>
      </w:r>
      <w:proofErr w:type="gramEnd"/>
      <w:r w:rsidRPr="00A4024D">
        <w:rPr>
          <w:szCs w:val="28"/>
        </w:rPr>
        <w:t>, газо- и теплоснабжении населения города Липецка, обеспечит возможность быстрого и недискриминационного подключения потребителей к коммунальной инфраструктуре.</w:t>
      </w:r>
    </w:p>
    <w:p w:rsidR="00E03E72" w:rsidRPr="00A4024D" w:rsidRDefault="00E03E72" w:rsidP="00E03E72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Основные показатели транспортной и энергетической инфраструктуры  города Липецка в 20</w:t>
      </w:r>
      <w:r w:rsidR="00FB2723" w:rsidRPr="00A4024D">
        <w:rPr>
          <w:szCs w:val="28"/>
        </w:rPr>
        <w:t>20 году, оценке 2021</w:t>
      </w:r>
      <w:r w:rsidRPr="00A4024D">
        <w:rPr>
          <w:szCs w:val="28"/>
        </w:rPr>
        <w:t xml:space="preserve"> года и прогноз на 20</w:t>
      </w:r>
      <w:r w:rsidR="00FB2723" w:rsidRPr="00A4024D">
        <w:rPr>
          <w:szCs w:val="28"/>
        </w:rPr>
        <w:t>22</w:t>
      </w:r>
      <w:r w:rsidRPr="00A4024D">
        <w:rPr>
          <w:szCs w:val="28"/>
        </w:rPr>
        <w:t>–202</w:t>
      </w:r>
      <w:r w:rsidR="00FB2723" w:rsidRPr="00A4024D">
        <w:rPr>
          <w:szCs w:val="28"/>
        </w:rPr>
        <w:t>7</w:t>
      </w:r>
      <w:r w:rsidRPr="00A4024D">
        <w:rPr>
          <w:szCs w:val="28"/>
        </w:rPr>
        <w:t xml:space="preserve"> годы приведены в таблице </w:t>
      </w:r>
      <w:r w:rsidR="0044633C" w:rsidRPr="00A4024D">
        <w:rPr>
          <w:szCs w:val="28"/>
        </w:rPr>
        <w:t>8</w:t>
      </w:r>
      <w:r w:rsidRPr="00A4024D">
        <w:rPr>
          <w:szCs w:val="28"/>
        </w:rPr>
        <w:t>.1.</w:t>
      </w:r>
    </w:p>
    <w:p w:rsidR="004111A5" w:rsidRPr="00A4024D" w:rsidRDefault="004111A5" w:rsidP="00E03E72">
      <w:pPr>
        <w:ind w:left="7920"/>
        <w:jc w:val="right"/>
        <w:rPr>
          <w:szCs w:val="28"/>
        </w:rPr>
      </w:pPr>
    </w:p>
    <w:p w:rsidR="00E03E72" w:rsidRPr="00A4024D" w:rsidRDefault="00E03E72" w:rsidP="00E03E72">
      <w:pPr>
        <w:ind w:left="7920"/>
        <w:jc w:val="right"/>
        <w:rPr>
          <w:szCs w:val="28"/>
        </w:rPr>
      </w:pPr>
      <w:r w:rsidRPr="00A4024D">
        <w:rPr>
          <w:szCs w:val="28"/>
        </w:rPr>
        <w:t xml:space="preserve">Таблица </w:t>
      </w:r>
      <w:r w:rsidR="0044633C" w:rsidRPr="00A4024D">
        <w:rPr>
          <w:szCs w:val="28"/>
        </w:rPr>
        <w:t>8</w:t>
      </w:r>
      <w:r w:rsidRPr="00A4024D">
        <w:rPr>
          <w:szCs w:val="28"/>
        </w:rPr>
        <w:t>.1</w:t>
      </w:r>
    </w:p>
    <w:p w:rsidR="00E03E72" w:rsidRPr="00A4024D" w:rsidRDefault="00E03E72" w:rsidP="00E03E72">
      <w:pPr>
        <w:jc w:val="center"/>
        <w:rPr>
          <w:b/>
          <w:szCs w:val="28"/>
        </w:rPr>
      </w:pPr>
    </w:p>
    <w:p w:rsidR="00E03E72" w:rsidRPr="00A4024D" w:rsidRDefault="00E03E72" w:rsidP="00E03E72">
      <w:pPr>
        <w:jc w:val="center"/>
        <w:rPr>
          <w:b/>
          <w:szCs w:val="28"/>
        </w:rPr>
      </w:pPr>
      <w:r w:rsidRPr="00A4024D">
        <w:rPr>
          <w:b/>
          <w:szCs w:val="28"/>
        </w:rPr>
        <w:t>Основные  показатели транспортной и энергетической инфраструктуры</w:t>
      </w:r>
    </w:p>
    <w:p w:rsidR="00E03E72" w:rsidRPr="00A4024D" w:rsidRDefault="00E03E72" w:rsidP="00E03E72">
      <w:pPr>
        <w:jc w:val="right"/>
        <w:rPr>
          <w:szCs w:val="2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874"/>
        <w:gridCol w:w="568"/>
        <w:gridCol w:w="567"/>
        <w:gridCol w:w="567"/>
        <w:gridCol w:w="572"/>
        <w:gridCol w:w="562"/>
        <w:gridCol w:w="567"/>
        <w:gridCol w:w="567"/>
        <w:gridCol w:w="566"/>
        <w:gridCol w:w="566"/>
        <w:gridCol w:w="567"/>
        <w:gridCol w:w="567"/>
        <w:gridCol w:w="567"/>
      </w:tblGrid>
      <w:tr w:rsidR="00E03E72" w:rsidRPr="00A4024D" w:rsidTr="00122CC8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FB2723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FB2723" w:rsidRPr="00A4024D">
              <w:rPr>
                <w:sz w:val="18"/>
                <w:szCs w:val="18"/>
              </w:rPr>
              <w:t xml:space="preserve">20 </w:t>
            </w:r>
            <w:r w:rsidRPr="00A4024D">
              <w:rPr>
                <w:sz w:val="18"/>
                <w:szCs w:val="18"/>
              </w:rPr>
              <w:t>год (факт)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FB2723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2021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год (оценка)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FB2723" w:rsidRPr="00A4024D">
              <w:rPr>
                <w:sz w:val="18"/>
                <w:szCs w:val="18"/>
              </w:rPr>
              <w:t>22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FB2723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FB2723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прогноз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FB2723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FB2723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FB2723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122CC8">
        <w:trPr>
          <w:trHeight w:val="25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7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</w:tr>
      <w:tr w:rsidR="00E03E72" w:rsidRPr="00A4024D" w:rsidTr="009606E1">
        <w:trPr>
          <w:trHeight w:val="194"/>
          <w:jc w:val="center"/>
        </w:trPr>
        <w:tc>
          <w:tcPr>
            <w:tcW w:w="9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 xml:space="preserve">Протяженность дорог общего пользования с твердым покрытием         </w:t>
            </w:r>
          </w:p>
        </w:tc>
      </w:tr>
      <w:tr w:rsidR="00E03E72" w:rsidRPr="00A4024D" w:rsidTr="00122CC8">
        <w:trPr>
          <w:trHeight w:val="2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тыс. км</w:t>
            </w:r>
          </w:p>
          <w:p w:rsidR="00E03E72" w:rsidRPr="00A4024D" w:rsidRDefault="00E03E72" w:rsidP="00220E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0,489</w:t>
            </w:r>
          </w:p>
        </w:tc>
      </w:tr>
      <w:tr w:rsidR="00E03E72" w:rsidRPr="00A4024D" w:rsidTr="00122CC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sz w:val="18"/>
                <w:szCs w:val="18"/>
              </w:rPr>
              <w:t>в</w:t>
            </w:r>
            <w:proofErr w:type="gramEnd"/>
            <w:r w:rsidRPr="00A4024D">
              <w:rPr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sz w:val="18"/>
                <w:szCs w:val="18"/>
              </w:rPr>
              <w:t>к</w:t>
            </w:r>
            <w:proofErr w:type="gramEnd"/>
            <w:r w:rsidRPr="00A4024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350283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100,4</w:t>
            </w:r>
          </w:p>
        </w:tc>
      </w:tr>
    </w:tbl>
    <w:p w:rsidR="00A4024D" w:rsidRPr="00A4024D" w:rsidRDefault="00A4024D" w:rsidP="00A4024D">
      <w:pPr>
        <w:jc w:val="right"/>
      </w:pPr>
      <w:r w:rsidRPr="00A4024D">
        <w:lastRenderedPageBreak/>
        <w:t>продолжение таблицы 8.1</w:t>
      </w:r>
    </w:p>
    <w:p w:rsidR="00A4024D" w:rsidRPr="00A4024D" w:rsidRDefault="00A4024D"/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874"/>
        <w:gridCol w:w="568"/>
        <w:gridCol w:w="567"/>
        <w:gridCol w:w="567"/>
        <w:gridCol w:w="572"/>
        <w:gridCol w:w="562"/>
        <w:gridCol w:w="567"/>
        <w:gridCol w:w="567"/>
        <w:gridCol w:w="566"/>
        <w:gridCol w:w="566"/>
        <w:gridCol w:w="567"/>
        <w:gridCol w:w="567"/>
        <w:gridCol w:w="567"/>
      </w:tblGrid>
      <w:tr w:rsidR="00E03E72" w:rsidRPr="00A4024D" w:rsidTr="009606E1">
        <w:trPr>
          <w:trHeight w:val="213"/>
          <w:jc w:val="center"/>
        </w:trPr>
        <w:tc>
          <w:tcPr>
            <w:tcW w:w="9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 xml:space="preserve">Протяжение электросетей (одиночное) кабельные КЛ/воздушные </w:t>
            </w:r>
            <w:proofErr w:type="gramStart"/>
            <w:r w:rsidRPr="00A4024D">
              <w:rPr>
                <w:sz w:val="22"/>
                <w:szCs w:val="22"/>
              </w:rPr>
              <w:t>ВЛ</w:t>
            </w:r>
            <w:proofErr w:type="gramEnd"/>
          </w:p>
        </w:tc>
      </w:tr>
      <w:tr w:rsidR="00E03E72" w:rsidRPr="00A4024D" w:rsidTr="00122CC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тыс. км</w:t>
            </w:r>
          </w:p>
          <w:p w:rsidR="00E03E72" w:rsidRPr="00A4024D" w:rsidRDefault="00E03E72" w:rsidP="00220E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2,448</w:t>
            </w:r>
          </w:p>
          <w:p w:rsidR="009606E1" w:rsidRPr="00A4024D" w:rsidRDefault="009606E1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2,483</w:t>
            </w:r>
          </w:p>
          <w:p w:rsidR="009606E1" w:rsidRPr="00A4024D" w:rsidRDefault="009606E1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1,317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2,518</w:t>
            </w:r>
          </w:p>
          <w:p w:rsidR="009606E1" w:rsidRPr="00A4024D" w:rsidRDefault="009606E1" w:rsidP="009606E1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1" w:rsidRPr="00A4024D" w:rsidRDefault="009606E1" w:rsidP="009606E1">
            <w:pPr>
              <w:pStyle w:val="aff"/>
              <w:ind w:left="-20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2,518</w:t>
            </w:r>
          </w:p>
          <w:p w:rsidR="00E03E72" w:rsidRPr="00A4024D" w:rsidRDefault="009606E1" w:rsidP="009606E1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2,553</w:t>
            </w:r>
          </w:p>
          <w:p w:rsidR="009606E1" w:rsidRPr="00A4024D" w:rsidRDefault="009606E1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1,389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1" w:rsidRPr="00A4024D" w:rsidRDefault="009606E1" w:rsidP="009606E1">
            <w:pPr>
              <w:pStyle w:val="aff"/>
              <w:ind w:left="-166" w:firstLine="103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2,553</w:t>
            </w:r>
          </w:p>
          <w:p w:rsidR="00E03E72" w:rsidRPr="00A4024D" w:rsidRDefault="009606E1" w:rsidP="009606E1">
            <w:pPr>
              <w:pStyle w:val="aff"/>
              <w:ind w:left="-166" w:right="-54" w:firstLine="103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1,389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9606E1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2,588</w:t>
            </w:r>
          </w:p>
          <w:p w:rsidR="009606E1" w:rsidRPr="00A4024D" w:rsidRDefault="009606E1" w:rsidP="009606E1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1" w:rsidRPr="00A4024D" w:rsidRDefault="009606E1" w:rsidP="009606E1">
            <w:pPr>
              <w:pStyle w:val="aff"/>
              <w:ind w:hanging="103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2,588</w:t>
            </w:r>
          </w:p>
          <w:p w:rsidR="00E03E72" w:rsidRPr="00A4024D" w:rsidRDefault="009606E1" w:rsidP="009606E1">
            <w:pPr>
              <w:pStyle w:val="aff"/>
              <w:ind w:right="-54" w:hanging="103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9606E1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2,623</w:t>
            </w:r>
          </w:p>
          <w:p w:rsidR="009606E1" w:rsidRPr="00A4024D" w:rsidRDefault="009606E1" w:rsidP="009606E1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1,461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1" w:rsidRPr="00A4024D" w:rsidRDefault="009606E1" w:rsidP="009606E1">
            <w:pPr>
              <w:pStyle w:val="aff"/>
              <w:ind w:left="-103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2,623</w:t>
            </w:r>
          </w:p>
          <w:p w:rsidR="00E03E72" w:rsidRPr="00A4024D" w:rsidRDefault="009606E1" w:rsidP="009606E1">
            <w:pPr>
              <w:pStyle w:val="aff"/>
              <w:ind w:left="-103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1,461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B37A07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2,658</w:t>
            </w:r>
          </w:p>
          <w:p w:rsidR="009606E1" w:rsidRPr="00A4024D" w:rsidRDefault="009606E1" w:rsidP="00B37A07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1" w:rsidRPr="00A4024D" w:rsidRDefault="009606E1" w:rsidP="00B37A07">
            <w:pPr>
              <w:pStyle w:val="aff"/>
              <w:ind w:left="-13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2,658</w:t>
            </w:r>
          </w:p>
          <w:p w:rsidR="00E03E72" w:rsidRPr="00A4024D" w:rsidRDefault="009606E1" w:rsidP="00B37A07">
            <w:pPr>
              <w:pStyle w:val="aff"/>
              <w:ind w:left="-13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9606E1" w:rsidP="00B37A07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2,693</w:t>
            </w:r>
          </w:p>
          <w:p w:rsidR="009606E1" w:rsidRPr="00A4024D" w:rsidRDefault="009606E1" w:rsidP="00B37A07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E1" w:rsidRPr="00A4024D" w:rsidRDefault="009606E1" w:rsidP="00B37A07">
            <w:pPr>
              <w:pStyle w:val="aff"/>
              <w:ind w:left="-7" w:hanging="101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2,693</w:t>
            </w:r>
          </w:p>
          <w:p w:rsidR="00E03E72" w:rsidRPr="00A4024D" w:rsidRDefault="009606E1" w:rsidP="00B37A07">
            <w:pPr>
              <w:pStyle w:val="aff"/>
              <w:ind w:left="-7" w:right="-54" w:hanging="101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1,535</w:t>
            </w:r>
          </w:p>
        </w:tc>
      </w:tr>
      <w:tr w:rsidR="00B37A07" w:rsidRPr="00A4024D" w:rsidTr="00122CC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sz w:val="18"/>
                <w:szCs w:val="18"/>
              </w:rPr>
              <w:t>в</w:t>
            </w:r>
            <w:proofErr w:type="gramEnd"/>
            <w:r w:rsidRPr="00A4024D">
              <w:rPr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sz w:val="18"/>
                <w:szCs w:val="18"/>
              </w:rPr>
              <w:t>к</w:t>
            </w:r>
            <w:proofErr w:type="gramEnd"/>
            <w:r w:rsidRPr="00A4024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100,7</w:t>
            </w:r>
          </w:p>
          <w:p w:rsidR="00B37A07" w:rsidRPr="00A4024D" w:rsidRDefault="00B37A07" w:rsidP="00220EBF">
            <w:pPr>
              <w:pStyle w:val="aff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111,6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101,4</w:t>
            </w:r>
          </w:p>
          <w:p w:rsidR="00B37A07" w:rsidRPr="00A4024D" w:rsidRDefault="00B37A07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101,8</w:t>
            </w:r>
          </w:p>
          <w:p w:rsidR="00B37A07" w:rsidRPr="00A4024D" w:rsidRDefault="00B37A07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9606E1">
            <w:pPr>
              <w:pStyle w:val="aff"/>
              <w:ind w:hanging="103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101,8</w:t>
            </w:r>
          </w:p>
          <w:p w:rsidR="00B37A07" w:rsidRPr="00A4024D" w:rsidRDefault="00B37A07" w:rsidP="009606E1">
            <w:pPr>
              <w:pStyle w:val="aff"/>
              <w:ind w:right="-54" w:hanging="103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101,4</w:t>
            </w:r>
          </w:p>
          <w:p w:rsidR="00B37A07" w:rsidRPr="00A4024D" w:rsidRDefault="00B37A07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101,4</w:t>
            </w:r>
          </w:p>
          <w:p w:rsidR="00B37A07" w:rsidRPr="00A4024D" w:rsidRDefault="00B37A07" w:rsidP="00220EBF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30" w:hanging="73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101,4</w:t>
            </w:r>
          </w:p>
          <w:p w:rsidR="00B37A07" w:rsidRPr="00A4024D" w:rsidRDefault="00B37A07" w:rsidP="00B37A07">
            <w:pPr>
              <w:pStyle w:val="aff"/>
              <w:ind w:left="-30" w:right="-54" w:hanging="73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2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101,4</w:t>
            </w:r>
          </w:p>
          <w:p w:rsidR="00B37A07" w:rsidRPr="00A4024D" w:rsidRDefault="00B37A07" w:rsidP="00B37A07">
            <w:pPr>
              <w:pStyle w:val="aff"/>
              <w:ind w:left="-12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9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101,4</w:t>
            </w:r>
          </w:p>
          <w:p w:rsidR="00B37A07" w:rsidRPr="00A4024D" w:rsidRDefault="00B37A07" w:rsidP="00B37A07">
            <w:pPr>
              <w:pStyle w:val="aff"/>
              <w:ind w:left="-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03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101,4</w:t>
            </w:r>
          </w:p>
          <w:p w:rsidR="00B37A07" w:rsidRPr="00A4024D" w:rsidRDefault="00B37A07" w:rsidP="00B37A07">
            <w:pPr>
              <w:pStyle w:val="aff"/>
              <w:ind w:left="-103" w:right="-54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9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  <w:p w:rsidR="00B37A07" w:rsidRPr="00A4024D" w:rsidRDefault="00B37A07" w:rsidP="00B37A07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3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  <w:p w:rsidR="00B37A07" w:rsidRPr="00A4024D" w:rsidRDefault="00B37A07" w:rsidP="00B37A07">
            <w:pPr>
              <w:pStyle w:val="aff"/>
              <w:ind w:left="-13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9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  <w:p w:rsidR="00B37A07" w:rsidRPr="00A4024D" w:rsidRDefault="00B37A07" w:rsidP="00B37A07">
            <w:pPr>
              <w:pStyle w:val="aff"/>
              <w:ind w:left="-19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7" w:hanging="101"/>
              <w:jc w:val="right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101,3</w:t>
            </w:r>
          </w:p>
          <w:p w:rsidR="00B37A07" w:rsidRPr="00A4024D" w:rsidRDefault="00B37A07" w:rsidP="00B37A07">
            <w:pPr>
              <w:pStyle w:val="aff"/>
              <w:ind w:left="-7" w:right="-54" w:hanging="101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102,5</w:t>
            </w:r>
          </w:p>
        </w:tc>
      </w:tr>
      <w:tr w:rsidR="00B37A07" w:rsidRPr="00A4024D" w:rsidTr="009606E1">
        <w:trPr>
          <w:trHeight w:val="246"/>
          <w:jc w:val="center"/>
        </w:trPr>
        <w:tc>
          <w:tcPr>
            <w:tcW w:w="9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Протяжение газовых сетей (одиночное)</w:t>
            </w:r>
          </w:p>
        </w:tc>
      </w:tr>
      <w:tr w:rsidR="00B37A07" w:rsidRPr="00A4024D" w:rsidTr="00122CC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тыс. км</w:t>
            </w:r>
          </w:p>
          <w:p w:rsidR="00B37A07" w:rsidRPr="00A4024D" w:rsidRDefault="00B37A07" w:rsidP="00220E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1,590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1,599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1,608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1,608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</w:t>
            </w:r>
            <w:r w:rsidR="00122CC8" w:rsidRPr="00A4024D">
              <w:rPr>
                <w:sz w:val="16"/>
                <w:szCs w:val="16"/>
              </w:rPr>
              <w:t>1,626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1,6</w:t>
            </w:r>
            <w:r w:rsidR="00122CC8" w:rsidRPr="00A4024D">
              <w:rPr>
                <w:sz w:val="16"/>
                <w:szCs w:val="16"/>
              </w:rPr>
              <w:t>52</w:t>
            </w:r>
          </w:p>
        </w:tc>
      </w:tr>
      <w:tr w:rsidR="00B37A07" w:rsidRPr="00A4024D" w:rsidTr="00122CC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sz w:val="18"/>
                <w:szCs w:val="18"/>
              </w:rPr>
              <w:t>в</w:t>
            </w:r>
            <w:proofErr w:type="gramEnd"/>
            <w:r w:rsidRPr="00A4024D">
              <w:rPr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sz w:val="18"/>
                <w:szCs w:val="18"/>
              </w:rPr>
              <w:t>к</w:t>
            </w:r>
            <w:proofErr w:type="gramEnd"/>
            <w:r w:rsidRPr="00A4024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100,6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100,6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B37A07">
            <w:pPr>
              <w:pStyle w:val="aff"/>
              <w:ind w:left="-161" w:right="-54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 xml:space="preserve">  100,5</w:t>
            </w:r>
          </w:p>
        </w:tc>
      </w:tr>
      <w:tr w:rsidR="00B37A07" w:rsidRPr="00A4024D" w:rsidTr="009606E1">
        <w:trPr>
          <w:trHeight w:val="208"/>
          <w:jc w:val="center"/>
        </w:trPr>
        <w:tc>
          <w:tcPr>
            <w:tcW w:w="9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pStyle w:val="aff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Протяжение тепловых сетей (одиночное)</w:t>
            </w:r>
          </w:p>
        </w:tc>
      </w:tr>
      <w:tr w:rsidR="00B37A07" w:rsidRPr="00A4024D" w:rsidTr="00122CC8">
        <w:trPr>
          <w:trHeight w:val="3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тыс. км</w:t>
            </w:r>
          </w:p>
          <w:p w:rsidR="00B37A07" w:rsidRPr="00A4024D" w:rsidRDefault="00B37A07" w:rsidP="00220E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1,13</w:t>
            </w:r>
            <w:r w:rsidR="00122CC8" w:rsidRPr="00A4024D">
              <w:rPr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122CC8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  <w:lang w:eastAsia="en-US" w:bidi="en-US"/>
              </w:rPr>
              <w:t>1,138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1,14</w:t>
            </w:r>
            <w:r w:rsidR="00122CC8" w:rsidRPr="00A402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1,14</w:t>
            </w:r>
            <w:r w:rsidR="00122CC8" w:rsidRPr="00A402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6</w:t>
            </w:r>
            <w:r w:rsidRPr="00A4024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6</w:t>
            </w:r>
            <w:r w:rsidRPr="00A4024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1,1</w:t>
            </w:r>
            <w:r w:rsidR="00122CC8" w:rsidRPr="00A4024D">
              <w:rPr>
                <w:sz w:val="16"/>
                <w:szCs w:val="16"/>
              </w:rPr>
              <w:t>74</w:t>
            </w:r>
          </w:p>
        </w:tc>
      </w:tr>
      <w:tr w:rsidR="00B37A07" w:rsidRPr="00A4024D" w:rsidTr="00122CC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07" w:rsidRPr="00A4024D" w:rsidRDefault="00B37A07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sz w:val="18"/>
                <w:szCs w:val="18"/>
              </w:rPr>
              <w:t>в</w:t>
            </w:r>
            <w:proofErr w:type="gramEnd"/>
            <w:r w:rsidRPr="00A4024D">
              <w:rPr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sz w:val="18"/>
                <w:szCs w:val="18"/>
              </w:rPr>
              <w:t>к</w:t>
            </w:r>
            <w:proofErr w:type="gramEnd"/>
            <w:r w:rsidRPr="00A4024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122CC8" w:rsidP="00220EBF">
            <w:pPr>
              <w:pStyle w:val="aff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99,5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122CC8" w:rsidP="00220EBF">
            <w:pPr>
              <w:pStyle w:val="aff"/>
              <w:jc w:val="center"/>
              <w:rPr>
                <w:sz w:val="16"/>
                <w:szCs w:val="16"/>
                <w:lang w:eastAsia="en-US" w:bidi="en-US"/>
              </w:rPr>
            </w:pPr>
            <w:r w:rsidRPr="00A4024D">
              <w:rPr>
                <w:sz w:val="16"/>
                <w:szCs w:val="16"/>
                <w:lang w:eastAsia="en-US" w:bidi="en-US"/>
              </w:rPr>
              <w:t>100,2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07" w:rsidRPr="00A4024D" w:rsidRDefault="00B37A07" w:rsidP="00122CC8">
            <w:pPr>
              <w:pStyle w:val="aff"/>
              <w:ind w:left="-161" w:right="-196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100,</w:t>
            </w:r>
            <w:r w:rsidR="00122CC8" w:rsidRPr="00A4024D">
              <w:rPr>
                <w:sz w:val="16"/>
                <w:szCs w:val="16"/>
              </w:rPr>
              <w:t>5</w:t>
            </w:r>
          </w:p>
        </w:tc>
      </w:tr>
    </w:tbl>
    <w:p w:rsidR="00E03E72" w:rsidRPr="00A4024D" w:rsidRDefault="00E03E72" w:rsidP="00E03E72">
      <w:pPr>
        <w:ind w:left="360"/>
        <w:jc w:val="center"/>
        <w:rPr>
          <w:b/>
        </w:rPr>
      </w:pPr>
    </w:p>
    <w:p w:rsidR="00E03E72" w:rsidRPr="00A4024D" w:rsidRDefault="0044633C" w:rsidP="00E03E72">
      <w:pPr>
        <w:ind w:firstLine="709"/>
        <w:jc w:val="center"/>
        <w:rPr>
          <w:b/>
        </w:rPr>
      </w:pPr>
      <w:r w:rsidRPr="00A4024D">
        <w:rPr>
          <w:b/>
        </w:rPr>
        <w:t>9</w:t>
      </w:r>
      <w:r w:rsidR="00E03E72" w:rsidRPr="00A4024D">
        <w:rPr>
          <w:b/>
        </w:rPr>
        <w:t xml:space="preserve">. </w:t>
      </w:r>
      <w:r w:rsidR="00E03E72" w:rsidRPr="00A4024D">
        <w:rPr>
          <w:b/>
          <w:szCs w:val="28"/>
        </w:rPr>
        <w:t>Муниципальное имущество</w:t>
      </w:r>
    </w:p>
    <w:p w:rsidR="00E03E72" w:rsidRPr="00A4024D" w:rsidRDefault="00E03E72" w:rsidP="00E03E72"/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Муниципальное имущество в соответствии с действующим законодательством является одной из важнейших составляющих экономической основы местного самоуправления. Эффективное управление муниципальным имуществом позволяет решить две основные задачи: экономическую и социальную.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bCs/>
          <w:szCs w:val="28"/>
        </w:rPr>
      </w:pPr>
      <w:r w:rsidRPr="00A4024D">
        <w:rPr>
          <w:szCs w:val="28"/>
        </w:rPr>
        <w:t>Муниципальная собственность состоит из недвижимого имущества и пакетов акций.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Дивиденды по акциям, находящимся в муниципальной собственности в 2020 году не выплачивались. 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На основании данных, представленных акционерными обществами (ОАО «Галантерейщик», ОАО «Торговый дом «</w:t>
      </w:r>
      <w:proofErr w:type="spellStart"/>
      <w:r w:rsidRPr="00A4024D">
        <w:rPr>
          <w:szCs w:val="28"/>
        </w:rPr>
        <w:t>Липецкрегион</w:t>
      </w:r>
      <w:proofErr w:type="spellEnd"/>
      <w:r w:rsidRPr="00A4024D">
        <w:rPr>
          <w:szCs w:val="28"/>
        </w:rPr>
        <w:t>»), поступлений суммы дивидендов по акциям, находящимся в муниципальной собственности в 2021-2021 годах, не планируется.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АО «Липецкая ипотечная корпорация» и ОАО «</w:t>
      </w:r>
      <w:proofErr w:type="spellStart"/>
      <w:r w:rsidRPr="00A4024D">
        <w:rPr>
          <w:szCs w:val="28"/>
        </w:rPr>
        <w:t>Липецкоблбанк</w:t>
      </w:r>
      <w:proofErr w:type="spellEnd"/>
      <w:r w:rsidRPr="00A4024D">
        <w:rPr>
          <w:szCs w:val="28"/>
        </w:rPr>
        <w:t xml:space="preserve">» решениями Арбитражного суда Липецкой области признаны несостоятельными (банкротами). 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 w:rsidRPr="00A4024D">
        <w:rPr>
          <w:szCs w:val="28"/>
        </w:rPr>
        <w:t>В 2020 году реализация объектов муниципальной собственности осуществлялась в соответствии с прогнозным планом (программой) приватизации муниципального имущества, утвержденным решением сессии Липецкого городского Совета депутатов от 30.10.2018 № 778 (далее – план приватизации), федеральными законами от 21.12.2001 № 178-ФЗ «О приватизации государственного и муниципального имущества»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A4024D">
        <w:rPr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–159-ФЗ).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 w:rsidRPr="00A4024D">
        <w:rPr>
          <w:szCs w:val="28"/>
        </w:rPr>
        <w:lastRenderedPageBreak/>
        <w:t>Основными принципами формирования плана приватизации муниципального имущества на 2020 год являлось пополнение доходной части бюджета, продажа неликвидных объектов и сокращение затрат, связанных с их содержанием, в который вошло 27  объектов муниципальной собственности.</w:t>
      </w:r>
      <w:proofErr w:type="gramEnd"/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По исполнению плана приватизации продано 16 объектов муниципальной собственности на сумму 24,5 млн. рублей.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В рамках реализации закона о льготной приватизации 159-ФЗ заключено 14 договоров купли-продажи на сумму 34,0 млн. рублей с рассрочкой платежей до 7 лет.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Доходная часть городского бюджета от реализации муниципального имущества за 2020 год составила 125,2 млн. рублей или 77,4% к 2019 году.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В план приватизации на 2021 год, утвержденный решением сессии Липецкого городского Совета депутатов от 27.10.2020 № 19, включено 27 объектов муниципальной собственности, пакет акций ОАО «Галантерейщик», принадлежащих муниципалитету.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В 1 полугодии 2021 года было выставлено на продажу 9 нежилых помещений (33%), продано – 6. 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В рамках реализации федерального закона о льготной приватизации в 1 полугодии 2021 года заключено 4 договора купли-продажи на 23,4 млн. рублей с рассрочкой платежей до 7 лет.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bCs/>
          <w:szCs w:val="28"/>
        </w:rPr>
        <w:t xml:space="preserve">По прогнозным данным </w:t>
      </w:r>
      <w:r w:rsidRPr="00A4024D">
        <w:rPr>
          <w:szCs w:val="28"/>
        </w:rPr>
        <w:t xml:space="preserve">поступления от реализации муниципального имущества в 2021 году составят 91,5 млн. рублей или 91,5% к 2020 году. Фактически в 1 полугодии 2021 года поступило 47,0 млн. рублей или 107% к соответствующему периоду 2020 года. 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Передача муниципального имущества в аренду так же является одним из действенных и эффективных способов управления и распоряжения муниципальной собственностью.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Заключение договоров аренды муниципального имущества осуществлялось в соответствии с федеральным законом от 26.07.2006 № 135-ФЗ «О защите конкуренции» и Положением «О сделках с муниципальным имуществом», утвержденным решением Липецкого городского Совета депутатов от 01.11.2005 № 158.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В 2020 году было заключено на новый срок или перезаключено 172 договора аренды, всего по состоянию на 31.12.2020 действовало 296 договоров. В течение отчетного периода было подготовле</w:t>
      </w:r>
      <w:r w:rsidR="00100E9E">
        <w:rPr>
          <w:szCs w:val="28"/>
        </w:rPr>
        <w:t>но 213 дополнительных соглашени</w:t>
      </w:r>
      <w:r w:rsidRPr="00A4024D">
        <w:rPr>
          <w:szCs w:val="28"/>
        </w:rPr>
        <w:t xml:space="preserve">й о внесении изменений в договора аренды, из них 21 о расторжении. 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За отчетный период осуществлен выезд в 187 арендуемых помещений с целью проверки их использования.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Поступление денежных сре</w:t>
      </w:r>
      <w:proofErr w:type="gramStart"/>
      <w:r w:rsidRPr="00A4024D">
        <w:rPr>
          <w:szCs w:val="28"/>
        </w:rPr>
        <w:t>дств в б</w:t>
      </w:r>
      <w:proofErr w:type="gramEnd"/>
      <w:r w:rsidRPr="00A4024D">
        <w:rPr>
          <w:szCs w:val="28"/>
        </w:rPr>
        <w:t>юджет города Липецка за аренду нежилых помещений, входящих в состав муниципальной казны, по состоянию на 31.12.2020 составили 49,4 млн. рублей, при плановых назначениях 50,0 млн. рублей (плановые назначения выполнены на 98,8%) или 76,4 % к 2019 году.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В 1 полугодии 2021 года было заключено на новый срок или перезаключено 109 договоров. В связи с  изготовлением новых технических паспортов, при проведении технической инвентаризации объектов, изменением стороны по </w:t>
      </w:r>
      <w:r w:rsidRPr="00A4024D">
        <w:rPr>
          <w:szCs w:val="28"/>
        </w:rPr>
        <w:lastRenderedPageBreak/>
        <w:t>договору, расторжением и перезаключением договоров подготовлено 165 дополнительных соглашений.</w:t>
      </w:r>
    </w:p>
    <w:p w:rsidR="00F8363A" w:rsidRPr="00A4024D" w:rsidRDefault="00F8363A" w:rsidP="00F8363A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 xml:space="preserve">В бюджет города Липецка за аренду нежилых помещений, входящих в состав муниципальной казны за 1 полугодие 2021 года поступило 28,2 млн. рублей или 121,5% к соответствующему периоду 2020 года. </w:t>
      </w:r>
    </w:p>
    <w:p w:rsidR="00E03E72" w:rsidRPr="00A4024D" w:rsidRDefault="00E03E72" w:rsidP="00E03E72">
      <w:pPr>
        <w:tabs>
          <w:tab w:val="left" w:pos="567"/>
        </w:tabs>
        <w:ind w:firstLine="709"/>
        <w:jc w:val="both"/>
        <w:rPr>
          <w:szCs w:val="28"/>
        </w:rPr>
      </w:pPr>
      <w:r w:rsidRPr="00A4024D">
        <w:rPr>
          <w:szCs w:val="28"/>
        </w:rPr>
        <w:t>Основные показатели использования муниципальной собственности в 20</w:t>
      </w:r>
      <w:r w:rsidR="008E6DA0" w:rsidRPr="00A4024D">
        <w:rPr>
          <w:szCs w:val="28"/>
        </w:rPr>
        <w:t>20</w:t>
      </w:r>
      <w:r w:rsidRPr="00A4024D">
        <w:rPr>
          <w:szCs w:val="28"/>
        </w:rPr>
        <w:t xml:space="preserve"> году, оценке 20</w:t>
      </w:r>
      <w:r w:rsidR="008E6DA0" w:rsidRPr="00A4024D">
        <w:rPr>
          <w:szCs w:val="28"/>
        </w:rPr>
        <w:t>21</w:t>
      </w:r>
      <w:r w:rsidRPr="00A4024D">
        <w:rPr>
          <w:szCs w:val="28"/>
        </w:rPr>
        <w:t xml:space="preserve"> года и прогноз на 20</w:t>
      </w:r>
      <w:r w:rsidR="008E6DA0" w:rsidRPr="00A4024D">
        <w:rPr>
          <w:szCs w:val="28"/>
        </w:rPr>
        <w:t>22</w:t>
      </w:r>
      <w:r w:rsidRPr="00A4024D">
        <w:rPr>
          <w:szCs w:val="28"/>
        </w:rPr>
        <w:t>–202</w:t>
      </w:r>
      <w:r w:rsidR="008E6DA0" w:rsidRPr="00A4024D">
        <w:rPr>
          <w:szCs w:val="28"/>
        </w:rPr>
        <w:t>7</w:t>
      </w:r>
      <w:r w:rsidRPr="00A4024D">
        <w:rPr>
          <w:szCs w:val="28"/>
        </w:rPr>
        <w:t xml:space="preserve"> годы приведены в таблице </w:t>
      </w:r>
      <w:r w:rsidR="0044633C" w:rsidRPr="00A4024D">
        <w:rPr>
          <w:szCs w:val="28"/>
        </w:rPr>
        <w:t>9</w:t>
      </w:r>
      <w:r w:rsidRPr="00A4024D">
        <w:rPr>
          <w:szCs w:val="28"/>
        </w:rPr>
        <w:t>.1.</w:t>
      </w:r>
    </w:p>
    <w:p w:rsidR="00E03E72" w:rsidRPr="00A4024D" w:rsidRDefault="00E03E72" w:rsidP="00E03E72">
      <w:pPr>
        <w:ind w:left="7920"/>
        <w:jc w:val="right"/>
        <w:rPr>
          <w:szCs w:val="28"/>
        </w:rPr>
      </w:pPr>
    </w:p>
    <w:p w:rsidR="00E03E72" w:rsidRPr="00A4024D" w:rsidRDefault="00E03E72" w:rsidP="00E03E72">
      <w:pPr>
        <w:ind w:left="7920"/>
        <w:jc w:val="right"/>
        <w:rPr>
          <w:szCs w:val="28"/>
        </w:rPr>
      </w:pPr>
      <w:r w:rsidRPr="00A4024D">
        <w:rPr>
          <w:szCs w:val="28"/>
        </w:rPr>
        <w:t xml:space="preserve">Таблица </w:t>
      </w:r>
      <w:r w:rsidR="0044633C" w:rsidRPr="00A4024D">
        <w:rPr>
          <w:szCs w:val="28"/>
        </w:rPr>
        <w:t>9</w:t>
      </w:r>
      <w:r w:rsidRPr="00A4024D">
        <w:rPr>
          <w:szCs w:val="28"/>
        </w:rPr>
        <w:t>.1</w:t>
      </w:r>
    </w:p>
    <w:p w:rsidR="00E03E72" w:rsidRPr="00A4024D" w:rsidRDefault="00E03E72" w:rsidP="00E03E72">
      <w:pPr>
        <w:jc w:val="center"/>
        <w:rPr>
          <w:b/>
          <w:szCs w:val="28"/>
        </w:rPr>
      </w:pPr>
    </w:p>
    <w:p w:rsidR="00E03E72" w:rsidRPr="00A4024D" w:rsidRDefault="00E03E72" w:rsidP="00E03E72">
      <w:pPr>
        <w:jc w:val="center"/>
        <w:rPr>
          <w:b/>
          <w:szCs w:val="28"/>
        </w:rPr>
      </w:pPr>
      <w:r w:rsidRPr="00A4024D">
        <w:rPr>
          <w:b/>
          <w:szCs w:val="28"/>
        </w:rPr>
        <w:t>Основные показатели по муниципальному имуществу</w:t>
      </w:r>
    </w:p>
    <w:p w:rsidR="00E03E72" w:rsidRPr="00A4024D" w:rsidRDefault="00E03E72" w:rsidP="00E03E72">
      <w:pPr>
        <w:jc w:val="right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600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3E72" w:rsidRPr="00A4024D" w:rsidTr="00220EB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8E6DA0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20</w:t>
            </w:r>
            <w:r w:rsidRPr="00A4024D">
              <w:rPr>
                <w:sz w:val="18"/>
                <w:szCs w:val="18"/>
              </w:rPr>
              <w:t xml:space="preserve"> год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21</w:t>
            </w:r>
            <w:r w:rsidRPr="00A4024D">
              <w:rPr>
                <w:sz w:val="18"/>
                <w:szCs w:val="18"/>
              </w:rPr>
              <w:t xml:space="preserve">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год (оценка)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</w:t>
            </w:r>
            <w:r w:rsidR="008E6DA0" w:rsidRPr="00A4024D">
              <w:rPr>
                <w:sz w:val="18"/>
                <w:szCs w:val="18"/>
              </w:rPr>
              <w:t>22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3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4</w:t>
            </w:r>
            <w:r w:rsidRPr="00A4024D">
              <w:rPr>
                <w:sz w:val="18"/>
                <w:szCs w:val="18"/>
              </w:rPr>
              <w:t xml:space="preserve"> год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 xml:space="preserve"> 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5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6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202</w:t>
            </w:r>
            <w:r w:rsidR="008E6DA0" w:rsidRPr="00A4024D">
              <w:rPr>
                <w:sz w:val="18"/>
                <w:szCs w:val="18"/>
              </w:rPr>
              <w:t>7</w:t>
            </w:r>
            <w:r w:rsidRPr="00A4024D">
              <w:rPr>
                <w:sz w:val="18"/>
                <w:szCs w:val="18"/>
              </w:rPr>
              <w:t xml:space="preserve"> год 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прогноз</w:t>
            </w:r>
          </w:p>
        </w:tc>
      </w:tr>
      <w:tr w:rsidR="00E03E72" w:rsidRPr="00A4024D" w:rsidTr="00220EB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72" w:rsidRPr="00A4024D" w:rsidRDefault="00E03E72" w:rsidP="00220EB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75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1 вар.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ind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2 вар</w:t>
            </w:r>
            <w:proofErr w:type="gramStart"/>
            <w:r w:rsidRPr="00A4024D">
              <w:rPr>
                <w:sz w:val="16"/>
                <w:szCs w:val="16"/>
              </w:rPr>
              <w:t xml:space="preserve"> .</w:t>
            </w:r>
            <w:proofErr w:type="gramEnd"/>
          </w:p>
        </w:tc>
      </w:tr>
      <w:tr w:rsidR="00E03E72" w:rsidRPr="00A4024D" w:rsidTr="00220EBF">
        <w:trPr>
          <w:trHeight w:val="229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ind w:right="-108"/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Сумма дивидендов по акциям, находящимся в муниципальной собственности</w:t>
            </w:r>
          </w:p>
        </w:tc>
      </w:tr>
      <w:tr w:rsidR="00E03E72" w:rsidRPr="00A4024D" w:rsidTr="00220E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</w:p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  <w:p w:rsidR="00E03E72" w:rsidRPr="00A4024D" w:rsidRDefault="000474C4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  <w:p w:rsidR="00E03E72" w:rsidRPr="00A4024D" w:rsidRDefault="00E03E72" w:rsidP="0022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0</w:t>
            </w:r>
          </w:p>
        </w:tc>
      </w:tr>
      <w:tr w:rsidR="00E03E72" w:rsidRPr="00A4024D" w:rsidTr="00220E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41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4024D">
              <w:rPr>
                <w:sz w:val="16"/>
                <w:szCs w:val="16"/>
              </w:rPr>
              <w:t>-</w:t>
            </w:r>
          </w:p>
        </w:tc>
      </w:tr>
      <w:tr w:rsidR="00E03E72" w:rsidRPr="00A4024D" w:rsidTr="00220EBF">
        <w:trPr>
          <w:trHeight w:val="194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Поступления от сдачи в аренду муниципального имущества</w:t>
            </w:r>
          </w:p>
        </w:tc>
      </w:tr>
      <w:tr w:rsidR="00E03E72" w:rsidRPr="00A4024D" w:rsidTr="00220E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</w:p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</w:p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49,4</w:t>
            </w:r>
          </w:p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45,0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41,6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37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38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34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0474C4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28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</w:t>
            </w:r>
            <w:r w:rsidR="00E03E72" w:rsidRPr="00A402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26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26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22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22</w:t>
            </w:r>
            <w:r w:rsidR="00E03E72" w:rsidRPr="00A4024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0474C4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1</w:t>
            </w:r>
            <w:r w:rsidR="000474C4" w:rsidRPr="00A4024D">
              <w:rPr>
                <w:sz w:val="18"/>
                <w:szCs w:val="18"/>
              </w:rPr>
              <w:t>8</w:t>
            </w:r>
            <w:r w:rsidRPr="00A4024D">
              <w:rPr>
                <w:sz w:val="18"/>
                <w:szCs w:val="18"/>
              </w:rPr>
              <w:t>,0</w:t>
            </w:r>
          </w:p>
        </w:tc>
      </w:tr>
      <w:tr w:rsidR="00E03E72" w:rsidRPr="00A4024D" w:rsidTr="00220E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91,2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92,4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A118E6" w:rsidP="00A118E6">
            <w:pPr>
              <w:ind w:left="-10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474C4" w:rsidRPr="00A4024D">
              <w:rPr>
                <w:sz w:val="18"/>
                <w:szCs w:val="18"/>
              </w:rPr>
              <w:t>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92,9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81,8</w:t>
            </w:r>
          </w:p>
        </w:tc>
      </w:tr>
      <w:tr w:rsidR="00E03E72" w:rsidRPr="00A4024D" w:rsidTr="00220EBF">
        <w:trPr>
          <w:trHeight w:val="290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E03E72" w:rsidP="00220EBF">
            <w:pPr>
              <w:rPr>
                <w:sz w:val="22"/>
                <w:szCs w:val="22"/>
              </w:rPr>
            </w:pPr>
            <w:r w:rsidRPr="00A4024D">
              <w:rPr>
                <w:sz w:val="22"/>
                <w:szCs w:val="22"/>
              </w:rPr>
              <w:t>Поступления от реализации муниципального имущества</w:t>
            </w:r>
          </w:p>
        </w:tc>
      </w:tr>
      <w:tr w:rsidR="00E03E72" w:rsidRPr="00A4024D" w:rsidTr="00220E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млн. руб.</w:t>
            </w:r>
          </w:p>
          <w:p w:rsidR="00E03E72" w:rsidRPr="00A4024D" w:rsidRDefault="00E03E72" w:rsidP="00220E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91,5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50,0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8"/>
                <w:szCs w:val="18"/>
              </w:rPr>
            </w:pPr>
            <w:r w:rsidRPr="00A4024D">
              <w:rPr>
                <w:sz w:val="18"/>
                <w:szCs w:val="18"/>
              </w:rPr>
              <w:t>2,0</w:t>
            </w:r>
          </w:p>
        </w:tc>
      </w:tr>
      <w:tr w:rsidR="00E03E72" w:rsidRPr="00A4024D" w:rsidTr="00220E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72" w:rsidRPr="00A4024D" w:rsidRDefault="00E03E72" w:rsidP="00220EBF">
            <w:pPr>
              <w:rPr>
                <w:sz w:val="18"/>
                <w:szCs w:val="18"/>
              </w:rPr>
            </w:pPr>
            <w:proofErr w:type="gramStart"/>
            <w:r w:rsidRPr="00A4024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A4024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A4024D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73,1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54,6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72" w:rsidRPr="00A4024D" w:rsidRDefault="000474C4" w:rsidP="00220EBF">
            <w:pPr>
              <w:jc w:val="center"/>
              <w:rPr>
                <w:sz w:val="15"/>
                <w:szCs w:val="15"/>
              </w:rPr>
            </w:pPr>
            <w:r w:rsidRPr="00A4024D">
              <w:rPr>
                <w:sz w:val="15"/>
                <w:szCs w:val="15"/>
              </w:rPr>
              <w:t>33,3</w:t>
            </w:r>
          </w:p>
        </w:tc>
      </w:tr>
    </w:tbl>
    <w:p w:rsidR="00E03E72" w:rsidRPr="00A4024D" w:rsidRDefault="00E03E72" w:rsidP="00E03E72">
      <w:pPr>
        <w:pStyle w:val="211"/>
        <w:rPr>
          <w:szCs w:val="28"/>
          <w:lang w:val="ru-RU"/>
        </w:rPr>
      </w:pPr>
    </w:p>
    <w:p w:rsidR="00904EAD" w:rsidRPr="00A4024D" w:rsidRDefault="00904EAD" w:rsidP="00904EAD">
      <w:pPr>
        <w:pStyle w:val="210"/>
        <w:rPr>
          <w:szCs w:val="28"/>
          <w:lang w:val="ru-RU"/>
        </w:rPr>
      </w:pPr>
    </w:p>
    <w:p w:rsidR="00E80B78" w:rsidRPr="00A4024D" w:rsidRDefault="00E80B78" w:rsidP="00904EAD">
      <w:pPr>
        <w:pStyle w:val="210"/>
        <w:rPr>
          <w:szCs w:val="28"/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100E9E" w:rsidRDefault="00100E9E" w:rsidP="00904EAD">
      <w:pPr>
        <w:pStyle w:val="210"/>
        <w:rPr>
          <w:lang w:val="ru-RU"/>
        </w:rPr>
      </w:pPr>
    </w:p>
    <w:p w:rsidR="006D675C" w:rsidRDefault="0044633C" w:rsidP="00100E9E">
      <w:pPr>
        <w:pStyle w:val="210"/>
      </w:pPr>
      <w:proofErr w:type="spellStart"/>
      <w:r w:rsidRPr="00A4024D">
        <w:rPr>
          <w:lang w:val="ru-RU"/>
        </w:rPr>
        <w:t>Ю.В.Полоскина</w:t>
      </w:r>
      <w:proofErr w:type="spellEnd"/>
    </w:p>
    <w:sectPr w:rsidR="006D675C" w:rsidSect="00C02969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2A" w:rsidRDefault="0053432A" w:rsidP="004337D3">
      <w:r>
        <w:separator/>
      </w:r>
    </w:p>
  </w:endnote>
  <w:endnote w:type="continuationSeparator" w:id="0">
    <w:p w:rsidR="0053432A" w:rsidRDefault="0053432A" w:rsidP="004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2A" w:rsidRDefault="0053432A" w:rsidP="004337D3">
      <w:r>
        <w:separator/>
      </w:r>
    </w:p>
  </w:footnote>
  <w:footnote w:type="continuationSeparator" w:id="0">
    <w:p w:rsidR="0053432A" w:rsidRDefault="0053432A" w:rsidP="0043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A" w:rsidRDefault="005343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432A" w:rsidRDefault="005343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2A" w:rsidRDefault="005343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3912">
      <w:rPr>
        <w:rStyle w:val="ab"/>
        <w:noProof/>
      </w:rPr>
      <w:t>29</w:t>
    </w:r>
    <w:r>
      <w:rPr>
        <w:rStyle w:val="ab"/>
      </w:rPr>
      <w:fldChar w:fldCharType="end"/>
    </w:r>
  </w:p>
  <w:p w:rsidR="0053432A" w:rsidRDefault="005343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5B2E144"/>
    <w:lvl w:ilvl="0">
      <w:start w:val="1"/>
      <w:numFmt w:val="bullet"/>
      <w:pStyle w:val="xl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EE8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D3A65C6"/>
    <w:lvl w:ilvl="0">
      <w:start w:val="1"/>
      <w:numFmt w:val="bullet"/>
      <w:pStyle w:val="e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5E14AEDA"/>
    <w:lvl w:ilvl="0">
      <w:numFmt w:val="bullet"/>
      <w:lvlText w:val="*"/>
      <w:lvlJc w:val="left"/>
    </w:lvl>
  </w:abstractNum>
  <w:abstractNum w:abstractNumId="4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65C2126"/>
    <w:multiLevelType w:val="hybridMultilevel"/>
    <w:tmpl w:val="CF4E7FAE"/>
    <w:lvl w:ilvl="0" w:tplc="26C6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E4947"/>
    <w:multiLevelType w:val="hybridMultilevel"/>
    <w:tmpl w:val="B40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352C"/>
    <w:multiLevelType w:val="hybridMultilevel"/>
    <w:tmpl w:val="54944C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F4A32"/>
    <w:multiLevelType w:val="hybridMultilevel"/>
    <w:tmpl w:val="5CEACF3E"/>
    <w:lvl w:ilvl="0" w:tplc="373A1C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D3172"/>
    <w:multiLevelType w:val="hybridMultilevel"/>
    <w:tmpl w:val="2172985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73F06"/>
    <w:multiLevelType w:val="hybridMultilevel"/>
    <w:tmpl w:val="26E222EA"/>
    <w:lvl w:ilvl="0" w:tplc="06E4DAD2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06453"/>
    <w:multiLevelType w:val="hybridMultilevel"/>
    <w:tmpl w:val="1030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B781D"/>
    <w:multiLevelType w:val="singleLevel"/>
    <w:tmpl w:val="57DACD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D851DC"/>
    <w:multiLevelType w:val="hybridMultilevel"/>
    <w:tmpl w:val="BA944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C3874"/>
    <w:multiLevelType w:val="hybridMultilevel"/>
    <w:tmpl w:val="0C1623CC"/>
    <w:lvl w:ilvl="0" w:tplc="99C801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C635C7"/>
    <w:multiLevelType w:val="hybridMultilevel"/>
    <w:tmpl w:val="873CA524"/>
    <w:lvl w:ilvl="0" w:tplc="5C16464C">
      <w:start w:val="8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B2CE9"/>
    <w:multiLevelType w:val="hybridMultilevel"/>
    <w:tmpl w:val="B008B83C"/>
    <w:lvl w:ilvl="0" w:tplc="BC7432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B0490"/>
    <w:multiLevelType w:val="hybridMultilevel"/>
    <w:tmpl w:val="52807A1E"/>
    <w:lvl w:ilvl="0" w:tplc="FD0659D4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17"/>
  </w:num>
  <w:num w:numId="10">
    <w:abstractNumId w:val="16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3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C"/>
    <w:rsid w:val="000010CE"/>
    <w:rsid w:val="0000210B"/>
    <w:rsid w:val="00013187"/>
    <w:rsid w:val="00024FE2"/>
    <w:rsid w:val="00026124"/>
    <w:rsid w:val="000262EF"/>
    <w:rsid w:val="0004446D"/>
    <w:rsid w:val="00045643"/>
    <w:rsid w:val="00045D02"/>
    <w:rsid w:val="000474C4"/>
    <w:rsid w:val="00051C1E"/>
    <w:rsid w:val="000549EE"/>
    <w:rsid w:val="00054CC1"/>
    <w:rsid w:val="000560A5"/>
    <w:rsid w:val="000565EA"/>
    <w:rsid w:val="00066459"/>
    <w:rsid w:val="000668AC"/>
    <w:rsid w:val="000750F0"/>
    <w:rsid w:val="00075B41"/>
    <w:rsid w:val="00085CFD"/>
    <w:rsid w:val="000873AF"/>
    <w:rsid w:val="000975B4"/>
    <w:rsid w:val="000A086D"/>
    <w:rsid w:val="000A0D01"/>
    <w:rsid w:val="000A464F"/>
    <w:rsid w:val="000B4CCA"/>
    <w:rsid w:val="000B6AB2"/>
    <w:rsid w:val="000C4A7B"/>
    <w:rsid w:val="000C4DB0"/>
    <w:rsid w:val="000C6C21"/>
    <w:rsid w:val="000C6C67"/>
    <w:rsid w:val="000D2B40"/>
    <w:rsid w:val="000D4EB9"/>
    <w:rsid w:val="000D4EF2"/>
    <w:rsid w:val="000D75F3"/>
    <w:rsid w:val="000E40AA"/>
    <w:rsid w:val="000E53E6"/>
    <w:rsid w:val="000E5596"/>
    <w:rsid w:val="000F1F0B"/>
    <w:rsid w:val="000F38B7"/>
    <w:rsid w:val="000F648F"/>
    <w:rsid w:val="00100E9E"/>
    <w:rsid w:val="00102C52"/>
    <w:rsid w:val="001044F2"/>
    <w:rsid w:val="0011323C"/>
    <w:rsid w:val="001132DD"/>
    <w:rsid w:val="00114830"/>
    <w:rsid w:val="00122CC8"/>
    <w:rsid w:val="0012368D"/>
    <w:rsid w:val="00124433"/>
    <w:rsid w:val="00124E39"/>
    <w:rsid w:val="001252C6"/>
    <w:rsid w:val="00125FF4"/>
    <w:rsid w:val="00130CDE"/>
    <w:rsid w:val="00137B01"/>
    <w:rsid w:val="0014446D"/>
    <w:rsid w:val="00150016"/>
    <w:rsid w:val="001509C6"/>
    <w:rsid w:val="00152161"/>
    <w:rsid w:val="00152EA7"/>
    <w:rsid w:val="00153E2B"/>
    <w:rsid w:val="001552BA"/>
    <w:rsid w:val="00155DEF"/>
    <w:rsid w:val="00156080"/>
    <w:rsid w:val="0016174B"/>
    <w:rsid w:val="00161829"/>
    <w:rsid w:val="00163E37"/>
    <w:rsid w:val="001647E5"/>
    <w:rsid w:val="00165E59"/>
    <w:rsid w:val="001703C8"/>
    <w:rsid w:val="00173704"/>
    <w:rsid w:val="00180E4D"/>
    <w:rsid w:val="0018154F"/>
    <w:rsid w:val="00182A5A"/>
    <w:rsid w:val="00183902"/>
    <w:rsid w:val="00184803"/>
    <w:rsid w:val="001862DC"/>
    <w:rsid w:val="00192742"/>
    <w:rsid w:val="0019679F"/>
    <w:rsid w:val="001971E9"/>
    <w:rsid w:val="001A0C8B"/>
    <w:rsid w:val="001A16CD"/>
    <w:rsid w:val="001A2F1D"/>
    <w:rsid w:val="001B0CC4"/>
    <w:rsid w:val="001B117E"/>
    <w:rsid w:val="001B5C2F"/>
    <w:rsid w:val="001B60F5"/>
    <w:rsid w:val="001B6EE2"/>
    <w:rsid w:val="001B7444"/>
    <w:rsid w:val="001D04C3"/>
    <w:rsid w:val="001D3059"/>
    <w:rsid w:val="001D4A22"/>
    <w:rsid w:val="001D549B"/>
    <w:rsid w:val="001D6A13"/>
    <w:rsid w:val="001E051D"/>
    <w:rsid w:val="001E09EF"/>
    <w:rsid w:val="001E0A75"/>
    <w:rsid w:val="001E2C72"/>
    <w:rsid w:val="001E35C5"/>
    <w:rsid w:val="001E53F3"/>
    <w:rsid w:val="001F146D"/>
    <w:rsid w:val="001F6716"/>
    <w:rsid w:val="00200831"/>
    <w:rsid w:val="00203D27"/>
    <w:rsid w:val="002042D2"/>
    <w:rsid w:val="002045CD"/>
    <w:rsid w:val="00204AC1"/>
    <w:rsid w:val="00204AD1"/>
    <w:rsid w:val="00206596"/>
    <w:rsid w:val="002069E3"/>
    <w:rsid w:val="00207780"/>
    <w:rsid w:val="002117AE"/>
    <w:rsid w:val="00214719"/>
    <w:rsid w:val="00216889"/>
    <w:rsid w:val="00220B21"/>
    <w:rsid w:val="00220EBF"/>
    <w:rsid w:val="00221AF9"/>
    <w:rsid w:val="00225955"/>
    <w:rsid w:val="00225CEA"/>
    <w:rsid w:val="002263E9"/>
    <w:rsid w:val="00232877"/>
    <w:rsid w:val="0023293F"/>
    <w:rsid w:val="00234E79"/>
    <w:rsid w:val="0024100F"/>
    <w:rsid w:val="0024341F"/>
    <w:rsid w:val="00244381"/>
    <w:rsid w:val="0024629D"/>
    <w:rsid w:val="00253AEC"/>
    <w:rsid w:val="0025783B"/>
    <w:rsid w:val="00263011"/>
    <w:rsid w:val="00265C7C"/>
    <w:rsid w:val="00266E80"/>
    <w:rsid w:val="002703B1"/>
    <w:rsid w:val="0027393A"/>
    <w:rsid w:val="00281BD1"/>
    <w:rsid w:val="00282E0E"/>
    <w:rsid w:val="0028341F"/>
    <w:rsid w:val="002905C3"/>
    <w:rsid w:val="00290AEB"/>
    <w:rsid w:val="00292A61"/>
    <w:rsid w:val="002931E0"/>
    <w:rsid w:val="00296711"/>
    <w:rsid w:val="0029709D"/>
    <w:rsid w:val="002971F6"/>
    <w:rsid w:val="002A1CC3"/>
    <w:rsid w:val="002A431C"/>
    <w:rsid w:val="002A6CDB"/>
    <w:rsid w:val="002B0A39"/>
    <w:rsid w:val="002B2CC6"/>
    <w:rsid w:val="002B3692"/>
    <w:rsid w:val="002B4A57"/>
    <w:rsid w:val="002B4A9D"/>
    <w:rsid w:val="002C05A6"/>
    <w:rsid w:val="002C09B5"/>
    <w:rsid w:val="002C0A81"/>
    <w:rsid w:val="002C41B1"/>
    <w:rsid w:val="002C552B"/>
    <w:rsid w:val="002C70F3"/>
    <w:rsid w:val="002D2D15"/>
    <w:rsid w:val="002D2E61"/>
    <w:rsid w:val="002E0EBD"/>
    <w:rsid w:val="002E407C"/>
    <w:rsid w:val="002E4A45"/>
    <w:rsid w:val="002E62B0"/>
    <w:rsid w:val="002F11D5"/>
    <w:rsid w:val="002F425D"/>
    <w:rsid w:val="00307C76"/>
    <w:rsid w:val="00315325"/>
    <w:rsid w:val="003166D3"/>
    <w:rsid w:val="00317D39"/>
    <w:rsid w:val="00320437"/>
    <w:rsid w:val="00320F0D"/>
    <w:rsid w:val="00321EE4"/>
    <w:rsid w:val="00324D2B"/>
    <w:rsid w:val="00325436"/>
    <w:rsid w:val="00331222"/>
    <w:rsid w:val="0033371C"/>
    <w:rsid w:val="00336AA2"/>
    <w:rsid w:val="0034459B"/>
    <w:rsid w:val="00346A01"/>
    <w:rsid w:val="00347FBF"/>
    <w:rsid w:val="00350283"/>
    <w:rsid w:val="0035436E"/>
    <w:rsid w:val="0035625A"/>
    <w:rsid w:val="003618CF"/>
    <w:rsid w:val="00362068"/>
    <w:rsid w:val="00362254"/>
    <w:rsid w:val="0036465D"/>
    <w:rsid w:val="003659D5"/>
    <w:rsid w:val="003664D2"/>
    <w:rsid w:val="00371B41"/>
    <w:rsid w:val="003819DA"/>
    <w:rsid w:val="003825DD"/>
    <w:rsid w:val="00382D41"/>
    <w:rsid w:val="003875E3"/>
    <w:rsid w:val="00390B9A"/>
    <w:rsid w:val="0039146A"/>
    <w:rsid w:val="00393FCB"/>
    <w:rsid w:val="003A3399"/>
    <w:rsid w:val="003A567A"/>
    <w:rsid w:val="003B0EC6"/>
    <w:rsid w:val="003B49DB"/>
    <w:rsid w:val="003B5995"/>
    <w:rsid w:val="003C0D8C"/>
    <w:rsid w:val="003C7632"/>
    <w:rsid w:val="003D05E1"/>
    <w:rsid w:val="003D1C15"/>
    <w:rsid w:val="003D5441"/>
    <w:rsid w:val="003E5948"/>
    <w:rsid w:val="003F1428"/>
    <w:rsid w:val="003F1839"/>
    <w:rsid w:val="003F19C4"/>
    <w:rsid w:val="003F217B"/>
    <w:rsid w:val="003F3B62"/>
    <w:rsid w:val="003F53B3"/>
    <w:rsid w:val="003F79E1"/>
    <w:rsid w:val="00406CFA"/>
    <w:rsid w:val="004103A2"/>
    <w:rsid w:val="004105A2"/>
    <w:rsid w:val="004111A5"/>
    <w:rsid w:val="004128D6"/>
    <w:rsid w:val="00412E93"/>
    <w:rsid w:val="00416C6F"/>
    <w:rsid w:val="00417CA4"/>
    <w:rsid w:val="00421B13"/>
    <w:rsid w:val="00423A31"/>
    <w:rsid w:val="00427A9C"/>
    <w:rsid w:val="004337D3"/>
    <w:rsid w:val="00433912"/>
    <w:rsid w:val="00433E74"/>
    <w:rsid w:val="004350A2"/>
    <w:rsid w:val="004372A4"/>
    <w:rsid w:val="004374E5"/>
    <w:rsid w:val="00443799"/>
    <w:rsid w:val="004457BB"/>
    <w:rsid w:val="0044633C"/>
    <w:rsid w:val="004478D2"/>
    <w:rsid w:val="004551E2"/>
    <w:rsid w:val="00457029"/>
    <w:rsid w:val="00457C6B"/>
    <w:rsid w:val="004653A4"/>
    <w:rsid w:val="00467346"/>
    <w:rsid w:val="00467386"/>
    <w:rsid w:val="00475AC8"/>
    <w:rsid w:val="00476821"/>
    <w:rsid w:val="00477D8A"/>
    <w:rsid w:val="00482C86"/>
    <w:rsid w:val="004838DF"/>
    <w:rsid w:val="004854A5"/>
    <w:rsid w:val="00492746"/>
    <w:rsid w:val="004933C9"/>
    <w:rsid w:val="004949D8"/>
    <w:rsid w:val="004A438F"/>
    <w:rsid w:val="004A7849"/>
    <w:rsid w:val="004B571F"/>
    <w:rsid w:val="004C223B"/>
    <w:rsid w:val="004C4662"/>
    <w:rsid w:val="004C4B52"/>
    <w:rsid w:val="004D3E83"/>
    <w:rsid w:val="004D4A1D"/>
    <w:rsid w:val="004E1BC3"/>
    <w:rsid w:val="004E2DC9"/>
    <w:rsid w:val="004E5035"/>
    <w:rsid w:val="004E7A67"/>
    <w:rsid w:val="004F41E9"/>
    <w:rsid w:val="004F524D"/>
    <w:rsid w:val="0050355F"/>
    <w:rsid w:val="00512A04"/>
    <w:rsid w:val="0052218F"/>
    <w:rsid w:val="005240B2"/>
    <w:rsid w:val="00533D0B"/>
    <w:rsid w:val="0053432A"/>
    <w:rsid w:val="00534ADD"/>
    <w:rsid w:val="005363A0"/>
    <w:rsid w:val="00537494"/>
    <w:rsid w:val="00542ACB"/>
    <w:rsid w:val="00544C4E"/>
    <w:rsid w:val="00546300"/>
    <w:rsid w:val="005515F8"/>
    <w:rsid w:val="005522AE"/>
    <w:rsid w:val="00553BAA"/>
    <w:rsid w:val="0055728B"/>
    <w:rsid w:val="00565906"/>
    <w:rsid w:val="005721D8"/>
    <w:rsid w:val="005774A5"/>
    <w:rsid w:val="00580ACE"/>
    <w:rsid w:val="00581CE8"/>
    <w:rsid w:val="00582BF5"/>
    <w:rsid w:val="00582EBA"/>
    <w:rsid w:val="00584669"/>
    <w:rsid w:val="00587DFB"/>
    <w:rsid w:val="00587EEB"/>
    <w:rsid w:val="00591189"/>
    <w:rsid w:val="00592417"/>
    <w:rsid w:val="0059298B"/>
    <w:rsid w:val="0059356C"/>
    <w:rsid w:val="00595347"/>
    <w:rsid w:val="00595762"/>
    <w:rsid w:val="00596F97"/>
    <w:rsid w:val="005A1F66"/>
    <w:rsid w:val="005A2772"/>
    <w:rsid w:val="005A2883"/>
    <w:rsid w:val="005A306A"/>
    <w:rsid w:val="005B13ED"/>
    <w:rsid w:val="005B2B72"/>
    <w:rsid w:val="005B422D"/>
    <w:rsid w:val="005B491D"/>
    <w:rsid w:val="005B7097"/>
    <w:rsid w:val="005C1D9A"/>
    <w:rsid w:val="005C3F00"/>
    <w:rsid w:val="005C69AA"/>
    <w:rsid w:val="005C6E6C"/>
    <w:rsid w:val="005D046D"/>
    <w:rsid w:val="005E0243"/>
    <w:rsid w:val="005E68B2"/>
    <w:rsid w:val="005F2A17"/>
    <w:rsid w:val="005F315E"/>
    <w:rsid w:val="005F32B8"/>
    <w:rsid w:val="005F598F"/>
    <w:rsid w:val="005F75A2"/>
    <w:rsid w:val="005F76E6"/>
    <w:rsid w:val="005F7D97"/>
    <w:rsid w:val="005F7FF7"/>
    <w:rsid w:val="00602BA2"/>
    <w:rsid w:val="00602CCF"/>
    <w:rsid w:val="00604038"/>
    <w:rsid w:val="006040DE"/>
    <w:rsid w:val="00610962"/>
    <w:rsid w:val="00611203"/>
    <w:rsid w:val="00615A89"/>
    <w:rsid w:val="0061688C"/>
    <w:rsid w:val="00616A1D"/>
    <w:rsid w:val="006216AF"/>
    <w:rsid w:val="006227AD"/>
    <w:rsid w:val="00625C0F"/>
    <w:rsid w:val="00631F1B"/>
    <w:rsid w:val="00635394"/>
    <w:rsid w:val="0063684B"/>
    <w:rsid w:val="00643B21"/>
    <w:rsid w:val="00646342"/>
    <w:rsid w:val="006508F5"/>
    <w:rsid w:val="00650D27"/>
    <w:rsid w:val="00651614"/>
    <w:rsid w:val="006539FC"/>
    <w:rsid w:val="006545A1"/>
    <w:rsid w:val="00655AEE"/>
    <w:rsid w:val="006565BD"/>
    <w:rsid w:val="0066160E"/>
    <w:rsid w:val="006622AA"/>
    <w:rsid w:val="006630B5"/>
    <w:rsid w:val="00663862"/>
    <w:rsid w:val="00667FEF"/>
    <w:rsid w:val="00674683"/>
    <w:rsid w:val="006838EB"/>
    <w:rsid w:val="00684B40"/>
    <w:rsid w:val="00686C48"/>
    <w:rsid w:val="00690114"/>
    <w:rsid w:val="00692E26"/>
    <w:rsid w:val="0069501C"/>
    <w:rsid w:val="00695470"/>
    <w:rsid w:val="00697F58"/>
    <w:rsid w:val="006A0B1D"/>
    <w:rsid w:val="006A1643"/>
    <w:rsid w:val="006B0513"/>
    <w:rsid w:val="006B218F"/>
    <w:rsid w:val="006B3E6F"/>
    <w:rsid w:val="006B4CD2"/>
    <w:rsid w:val="006B506F"/>
    <w:rsid w:val="006B61CD"/>
    <w:rsid w:val="006C7E6B"/>
    <w:rsid w:val="006D226C"/>
    <w:rsid w:val="006D675C"/>
    <w:rsid w:val="006F06A7"/>
    <w:rsid w:val="006F2102"/>
    <w:rsid w:val="006F3548"/>
    <w:rsid w:val="006F3F65"/>
    <w:rsid w:val="00701B7B"/>
    <w:rsid w:val="007028F5"/>
    <w:rsid w:val="0070341E"/>
    <w:rsid w:val="00704AAE"/>
    <w:rsid w:val="00704D18"/>
    <w:rsid w:val="00713F68"/>
    <w:rsid w:val="00715A9F"/>
    <w:rsid w:val="0071779C"/>
    <w:rsid w:val="0072012E"/>
    <w:rsid w:val="00720851"/>
    <w:rsid w:val="00722CF6"/>
    <w:rsid w:val="007308C9"/>
    <w:rsid w:val="007334E7"/>
    <w:rsid w:val="00735CAE"/>
    <w:rsid w:val="007432AD"/>
    <w:rsid w:val="00743FA8"/>
    <w:rsid w:val="00744051"/>
    <w:rsid w:val="00751503"/>
    <w:rsid w:val="00753EAA"/>
    <w:rsid w:val="007553A9"/>
    <w:rsid w:val="00757DED"/>
    <w:rsid w:val="00757E9D"/>
    <w:rsid w:val="007620D2"/>
    <w:rsid w:val="0076242F"/>
    <w:rsid w:val="00762ED3"/>
    <w:rsid w:val="00763249"/>
    <w:rsid w:val="00763D10"/>
    <w:rsid w:val="0076475C"/>
    <w:rsid w:val="007652ED"/>
    <w:rsid w:val="00765B54"/>
    <w:rsid w:val="007716A3"/>
    <w:rsid w:val="00771B42"/>
    <w:rsid w:val="00774987"/>
    <w:rsid w:val="00781695"/>
    <w:rsid w:val="0078249F"/>
    <w:rsid w:val="0078297E"/>
    <w:rsid w:val="0078344E"/>
    <w:rsid w:val="00786E76"/>
    <w:rsid w:val="007877F3"/>
    <w:rsid w:val="007A0682"/>
    <w:rsid w:val="007A195E"/>
    <w:rsid w:val="007A5AFB"/>
    <w:rsid w:val="007A746E"/>
    <w:rsid w:val="007B1D07"/>
    <w:rsid w:val="007B2152"/>
    <w:rsid w:val="007B50C5"/>
    <w:rsid w:val="007B5AA8"/>
    <w:rsid w:val="007B7330"/>
    <w:rsid w:val="007C0243"/>
    <w:rsid w:val="007C3B66"/>
    <w:rsid w:val="007C4691"/>
    <w:rsid w:val="007C62B1"/>
    <w:rsid w:val="007D1496"/>
    <w:rsid w:val="007D5517"/>
    <w:rsid w:val="007E3168"/>
    <w:rsid w:val="007E4CFE"/>
    <w:rsid w:val="007F478C"/>
    <w:rsid w:val="007F4D4B"/>
    <w:rsid w:val="00800576"/>
    <w:rsid w:val="00801B78"/>
    <w:rsid w:val="00801C51"/>
    <w:rsid w:val="0080629F"/>
    <w:rsid w:val="0081377C"/>
    <w:rsid w:val="00814FDD"/>
    <w:rsid w:val="008155E3"/>
    <w:rsid w:val="0082370C"/>
    <w:rsid w:val="00825EB0"/>
    <w:rsid w:val="00831695"/>
    <w:rsid w:val="00832A26"/>
    <w:rsid w:val="00835863"/>
    <w:rsid w:val="00837D50"/>
    <w:rsid w:val="008407DE"/>
    <w:rsid w:val="00843E99"/>
    <w:rsid w:val="00844AB5"/>
    <w:rsid w:val="00844DAB"/>
    <w:rsid w:val="00845020"/>
    <w:rsid w:val="008455F3"/>
    <w:rsid w:val="00845FC6"/>
    <w:rsid w:val="008532CF"/>
    <w:rsid w:val="00854934"/>
    <w:rsid w:val="008554C4"/>
    <w:rsid w:val="00863D54"/>
    <w:rsid w:val="00866690"/>
    <w:rsid w:val="00874489"/>
    <w:rsid w:val="0087645A"/>
    <w:rsid w:val="008822E6"/>
    <w:rsid w:val="00882A6C"/>
    <w:rsid w:val="0088405A"/>
    <w:rsid w:val="008842C0"/>
    <w:rsid w:val="00885833"/>
    <w:rsid w:val="008858FE"/>
    <w:rsid w:val="00891D31"/>
    <w:rsid w:val="00894730"/>
    <w:rsid w:val="00896519"/>
    <w:rsid w:val="00896EB6"/>
    <w:rsid w:val="00897B5E"/>
    <w:rsid w:val="008A182B"/>
    <w:rsid w:val="008A70B0"/>
    <w:rsid w:val="008B049B"/>
    <w:rsid w:val="008B04AE"/>
    <w:rsid w:val="008B08F1"/>
    <w:rsid w:val="008B4753"/>
    <w:rsid w:val="008B5112"/>
    <w:rsid w:val="008B619F"/>
    <w:rsid w:val="008B6755"/>
    <w:rsid w:val="008C7836"/>
    <w:rsid w:val="008C7C57"/>
    <w:rsid w:val="008D291B"/>
    <w:rsid w:val="008D3AB6"/>
    <w:rsid w:val="008D3AF9"/>
    <w:rsid w:val="008D42BB"/>
    <w:rsid w:val="008D60FA"/>
    <w:rsid w:val="008E24EC"/>
    <w:rsid w:val="008E2F79"/>
    <w:rsid w:val="008E4A02"/>
    <w:rsid w:val="008E6463"/>
    <w:rsid w:val="008E6DA0"/>
    <w:rsid w:val="008F1B90"/>
    <w:rsid w:val="008F275E"/>
    <w:rsid w:val="008F2DCE"/>
    <w:rsid w:val="008F7497"/>
    <w:rsid w:val="009048E3"/>
    <w:rsid w:val="00904EAD"/>
    <w:rsid w:val="009059D2"/>
    <w:rsid w:val="00905C76"/>
    <w:rsid w:val="009075BE"/>
    <w:rsid w:val="009077D9"/>
    <w:rsid w:val="009155D1"/>
    <w:rsid w:val="00915DCB"/>
    <w:rsid w:val="0091775C"/>
    <w:rsid w:val="00923940"/>
    <w:rsid w:val="00926149"/>
    <w:rsid w:val="00936DDE"/>
    <w:rsid w:val="009403BF"/>
    <w:rsid w:val="009504D2"/>
    <w:rsid w:val="00951461"/>
    <w:rsid w:val="00956022"/>
    <w:rsid w:val="009606E1"/>
    <w:rsid w:val="00970A64"/>
    <w:rsid w:val="009727E5"/>
    <w:rsid w:val="00972FD0"/>
    <w:rsid w:val="00973688"/>
    <w:rsid w:val="00973F38"/>
    <w:rsid w:val="00976A78"/>
    <w:rsid w:val="0098229E"/>
    <w:rsid w:val="00982A5F"/>
    <w:rsid w:val="00983B48"/>
    <w:rsid w:val="00985CE4"/>
    <w:rsid w:val="00987498"/>
    <w:rsid w:val="00994027"/>
    <w:rsid w:val="009A0A71"/>
    <w:rsid w:val="009A20BD"/>
    <w:rsid w:val="009A28E9"/>
    <w:rsid w:val="009A2A49"/>
    <w:rsid w:val="009A410E"/>
    <w:rsid w:val="009A4E55"/>
    <w:rsid w:val="009A4EBD"/>
    <w:rsid w:val="009A55B4"/>
    <w:rsid w:val="009A5A64"/>
    <w:rsid w:val="009A68B1"/>
    <w:rsid w:val="009B0648"/>
    <w:rsid w:val="009B158B"/>
    <w:rsid w:val="009B35C7"/>
    <w:rsid w:val="009C13B4"/>
    <w:rsid w:val="009C196B"/>
    <w:rsid w:val="009C4BF8"/>
    <w:rsid w:val="009D53E0"/>
    <w:rsid w:val="009D7778"/>
    <w:rsid w:val="009E0229"/>
    <w:rsid w:val="009E17DB"/>
    <w:rsid w:val="009E26CA"/>
    <w:rsid w:val="009E3165"/>
    <w:rsid w:val="009E5703"/>
    <w:rsid w:val="009F1162"/>
    <w:rsid w:val="00A0040D"/>
    <w:rsid w:val="00A00887"/>
    <w:rsid w:val="00A01C22"/>
    <w:rsid w:val="00A06020"/>
    <w:rsid w:val="00A062F8"/>
    <w:rsid w:val="00A076A7"/>
    <w:rsid w:val="00A07DCC"/>
    <w:rsid w:val="00A118E6"/>
    <w:rsid w:val="00A15FB2"/>
    <w:rsid w:val="00A171D9"/>
    <w:rsid w:val="00A22EA4"/>
    <w:rsid w:val="00A23B77"/>
    <w:rsid w:val="00A247ED"/>
    <w:rsid w:val="00A26B3F"/>
    <w:rsid w:val="00A30F5C"/>
    <w:rsid w:val="00A34799"/>
    <w:rsid w:val="00A34B30"/>
    <w:rsid w:val="00A35B86"/>
    <w:rsid w:val="00A36EEC"/>
    <w:rsid w:val="00A37642"/>
    <w:rsid w:val="00A4024D"/>
    <w:rsid w:val="00A4032F"/>
    <w:rsid w:val="00A406E7"/>
    <w:rsid w:val="00A50AB5"/>
    <w:rsid w:val="00A5132E"/>
    <w:rsid w:val="00A55799"/>
    <w:rsid w:val="00A55D53"/>
    <w:rsid w:val="00A579AC"/>
    <w:rsid w:val="00A60DB7"/>
    <w:rsid w:val="00A62D73"/>
    <w:rsid w:val="00A6462B"/>
    <w:rsid w:val="00A65384"/>
    <w:rsid w:val="00A670E7"/>
    <w:rsid w:val="00A72C1A"/>
    <w:rsid w:val="00A750FA"/>
    <w:rsid w:val="00A80721"/>
    <w:rsid w:val="00A81DAE"/>
    <w:rsid w:val="00A832CA"/>
    <w:rsid w:val="00A86ACC"/>
    <w:rsid w:val="00A86C70"/>
    <w:rsid w:val="00A87EB6"/>
    <w:rsid w:val="00A90137"/>
    <w:rsid w:val="00A913F9"/>
    <w:rsid w:val="00A9162E"/>
    <w:rsid w:val="00A91A76"/>
    <w:rsid w:val="00A92616"/>
    <w:rsid w:val="00A9308F"/>
    <w:rsid w:val="00A94CB4"/>
    <w:rsid w:val="00A95F7E"/>
    <w:rsid w:val="00A978D2"/>
    <w:rsid w:val="00AA0059"/>
    <w:rsid w:val="00AA7685"/>
    <w:rsid w:val="00AB001D"/>
    <w:rsid w:val="00AB060E"/>
    <w:rsid w:val="00AB1710"/>
    <w:rsid w:val="00AB32D7"/>
    <w:rsid w:val="00AC1980"/>
    <w:rsid w:val="00AC365C"/>
    <w:rsid w:val="00AE0667"/>
    <w:rsid w:val="00AE0C53"/>
    <w:rsid w:val="00AF2743"/>
    <w:rsid w:val="00AF4D44"/>
    <w:rsid w:val="00AF4EC6"/>
    <w:rsid w:val="00B00742"/>
    <w:rsid w:val="00B00932"/>
    <w:rsid w:val="00B00CC4"/>
    <w:rsid w:val="00B05DD2"/>
    <w:rsid w:val="00B062FB"/>
    <w:rsid w:val="00B07927"/>
    <w:rsid w:val="00B1453B"/>
    <w:rsid w:val="00B153D0"/>
    <w:rsid w:val="00B16997"/>
    <w:rsid w:val="00B20CE2"/>
    <w:rsid w:val="00B22D32"/>
    <w:rsid w:val="00B2382B"/>
    <w:rsid w:val="00B23DAB"/>
    <w:rsid w:val="00B25094"/>
    <w:rsid w:val="00B2585C"/>
    <w:rsid w:val="00B26E87"/>
    <w:rsid w:val="00B33880"/>
    <w:rsid w:val="00B352C3"/>
    <w:rsid w:val="00B35B70"/>
    <w:rsid w:val="00B37A07"/>
    <w:rsid w:val="00B40B82"/>
    <w:rsid w:val="00B52768"/>
    <w:rsid w:val="00B54695"/>
    <w:rsid w:val="00B5722D"/>
    <w:rsid w:val="00B6177F"/>
    <w:rsid w:val="00B65D64"/>
    <w:rsid w:val="00B66229"/>
    <w:rsid w:val="00B7030B"/>
    <w:rsid w:val="00B70A3C"/>
    <w:rsid w:val="00B72E93"/>
    <w:rsid w:val="00B734CB"/>
    <w:rsid w:val="00B85FB4"/>
    <w:rsid w:val="00B87EE3"/>
    <w:rsid w:val="00B9319F"/>
    <w:rsid w:val="00B9335A"/>
    <w:rsid w:val="00BB3173"/>
    <w:rsid w:val="00BB3B9F"/>
    <w:rsid w:val="00BB6EBC"/>
    <w:rsid w:val="00BC2B5B"/>
    <w:rsid w:val="00BC31BF"/>
    <w:rsid w:val="00BC3378"/>
    <w:rsid w:val="00BC49F2"/>
    <w:rsid w:val="00BC4C7F"/>
    <w:rsid w:val="00BC636C"/>
    <w:rsid w:val="00BD00A1"/>
    <w:rsid w:val="00BD02EA"/>
    <w:rsid w:val="00BD4DF6"/>
    <w:rsid w:val="00BE02DB"/>
    <w:rsid w:val="00BE0C77"/>
    <w:rsid w:val="00BE1607"/>
    <w:rsid w:val="00BE2401"/>
    <w:rsid w:val="00BE2DE7"/>
    <w:rsid w:val="00BE590F"/>
    <w:rsid w:val="00BE6325"/>
    <w:rsid w:val="00BF009C"/>
    <w:rsid w:val="00BF4D0D"/>
    <w:rsid w:val="00BF5551"/>
    <w:rsid w:val="00BF6569"/>
    <w:rsid w:val="00C002CE"/>
    <w:rsid w:val="00C02969"/>
    <w:rsid w:val="00C0383E"/>
    <w:rsid w:val="00C03D65"/>
    <w:rsid w:val="00C058FC"/>
    <w:rsid w:val="00C10D59"/>
    <w:rsid w:val="00C1375F"/>
    <w:rsid w:val="00C144E7"/>
    <w:rsid w:val="00C157DD"/>
    <w:rsid w:val="00C23FEC"/>
    <w:rsid w:val="00C27FD6"/>
    <w:rsid w:val="00C30A41"/>
    <w:rsid w:val="00C40CD4"/>
    <w:rsid w:val="00C43FA1"/>
    <w:rsid w:val="00C4684D"/>
    <w:rsid w:val="00C53570"/>
    <w:rsid w:val="00C56531"/>
    <w:rsid w:val="00C63CD2"/>
    <w:rsid w:val="00C645CF"/>
    <w:rsid w:val="00C67BC5"/>
    <w:rsid w:val="00C70BEF"/>
    <w:rsid w:val="00C7129F"/>
    <w:rsid w:val="00C71994"/>
    <w:rsid w:val="00C72789"/>
    <w:rsid w:val="00C752FA"/>
    <w:rsid w:val="00C835C0"/>
    <w:rsid w:val="00C87A77"/>
    <w:rsid w:val="00C922FD"/>
    <w:rsid w:val="00C92364"/>
    <w:rsid w:val="00C9248E"/>
    <w:rsid w:val="00C93BB6"/>
    <w:rsid w:val="00C96E27"/>
    <w:rsid w:val="00C9765D"/>
    <w:rsid w:val="00CA2457"/>
    <w:rsid w:val="00CA3EB0"/>
    <w:rsid w:val="00CA50D4"/>
    <w:rsid w:val="00CB05DE"/>
    <w:rsid w:val="00CB3DF6"/>
    <w:rsid w:val="00CB5550"/>
    <w:rsid w:val="00CB745A"/>
    <w:rsid w:val="00CD020B"/>
    <w:rsid w:val="00CD49CA"/>
    <w:rsid w:val="00CE1118"/>
    <w:rsid w:val="00CE144C"/>
    <w:rsid w:val="00CE3297"/>
    <w:rsid w:val="00CE5B8A"/>
    <w:rsid w:val="00CE60CE"/>
    <w:rsid w:val="00CF09E3"/>
    <w:rsid w:val="00CF1829"/>
    <w:rsid w:val="00CF5B6F"/>
    <w:rsid w:val="00D02730"/>
    <w:rsid w:val="00D04AE4"/>
    <w:rsid w:val="00D0502B"/>
    <w:rsid w:val="00D05AC8"/>
    <w:rsid w:val="00D0622D"/>
    <w:rsid w:val="00D11CE6"/>
    <w:rsid w:val="00D11D03"/>
    <w:rsid w:val="00D170B5"/>
    <w:rsid w:val="00D25F9B"/>
    <w:rsid w:val="00D26159"/>
    <w:rsid w:val="00D3053A"/>
    <w:rsid w:val="00D32696"/>
    <w:rsid w:val="00D372C6"/>
    <w:rsid w:val="00D40666"/>
    <w:rsid w:val="00D40E88"/>
    <w:rsid w:val="00D469DE"/>
    <w:rsid w:val="00D47908"/>
    <w:rsid w:val="00D5626C"/>
    <w:rsid w:val="00D6324B"/>
    <w:rsid w:val="00D63C6D"/>
    <w:rsid w:val="00D64FBD"/>
    <w:rsid w:val="00D6553C"/>
    <w:rsid w:val="00D65F62"/>
    <w:rsid w:val="00D67058"/>
    <w:rsid w:val="00D67188"/>
    <w:rsid w:val="00D6733D"/>
    <w:rsid w:val="00D673BA"/>
    <w:rsid w:val="00D75F8C"/>
    <w:rsid w:val="00D87DD4"/>
    <w:rsid w:val="00D92A06"/>
    <w:rsid w:val="00D9463D"/>
    <w:rsid w:val="00D95E74"/>
    <w:rsid w:val="00DA04AE"/>
    <w:rsid w:val="00DB0035"/>
    <w:rsid w:val="00DB04A1"/>
    <w:rsid w:val="00DB0D8D"/>
    <w:rsid w:val="00DB2E81"/>
    <w:rsid w:val="00DB58AE"/>
    <w:rsid w:val="00DC043E"/>
    <w:rsid w:val="00DC4FBA"/>
    <w:rsid w:val="00DC7BF5"/>
    <w:rsid w:val="00DD2DF3"/>
    <w:rsid w:val="00DD6F24"/>
    <w:rsid w:val="00DE000B"/>
    <w:rsid w:val="00DE2875"/>
    <w:rsid w:val="00DE323F"/>
    <w:rsid w:val="00DE54F6"/>
    <w:rsid w:val="00DF18E5"/>
    <w:rsid w:val="00DF3AB4"/>
    <w:rsid w:val="00DF44C4"/>
    <w:rsid w:val="00DF577B"/>
    <w:rsid w:val="00DF61F9"/>
    <w:rsid w:val="00E01C58"/>
    <w:rsid w:val="00E03E72"/>
    <w:rsid w:val="00E04A61"/>
    <w:rsid w:val="00E05929"/>
    <w:rsid w:val="00E162B8"/>
    <w:rsid w:val="00E173F3"/>
    <w:rsid w:val="00E21CBA"/>
    <w:rsid w:val="00E23639"/>
    <w:rsid w:val="00E243D0"/>
    <w:rsid w:val="00E25C52"/>
    <w:rsid w:val="00E30FA6"/>
    <w:rsid w:val="00E35958"/>
    <w:rsid w:val="00E37468"/>
    <w:rsid w:val="00E4006E"/>
    <w:rsid w:val="00E4473F"/>
    <w:rsid w:val="00E47B3B"/>
    <w:rsid w:val="00E47FC3"/>
    <w:rsid w:val="00E5117A"/>
    <w:rsid w:val="00E56127"/>
    <w:rsid w:val="00E57178"/>
    <w:rsid w:val="00E60851"/>
    <w:rsid w:val="00E610C9"/>
    <w:rsid w:val="00E64848"/>
    <w:rsid w:val="00E655C4"/>
    <w:rsid w:val="00E80164"/>
    <w:rsid w:val="00E80B78"/>
    <w:rsid w:val="00E8129F"/>
    <w:rsid w:val="00E84039"/>
    <w:rsid w:val="00E84EA0"/>
    <w:rsid w:val="00E962EB"/>
    <w:rsid w:val="00EA0216"/>
    <w:rsid w:val="00EA42E1"/>
    <w:rsid w:val="00EA538A"/>
    <w:rsid w:val="00EA5C72"/>
    <w:rsid w:val="00EA726C"/>
    <w:rsid w:val="00EB0F1C"/>
    <w:rsid w:val="00EB2A27"/>
    <w:rsid w:val="00EB2F49"/>
    <w:rsid w:val="00EB67EB"/>
    <w:rsid w:val="00EC42BC"/>
    <w:rsid w:val="00EC67F1"/>
    <w:rsid w:val="00EC6966"/>
    <w:rsid w:val="00EC70B5"/>
    <w:rsid w:val="00ED254C"/>
    <w:rsid w:val="00ED6A79"/>
    <w:rsid w:val="00EE124C"/>
    <w:rsid w:val="00EE1B11"/>
    <w:rsid w:val="00EE46B2"/>
    <w:rsid w:val="00EE59D9"/>
    <w:rsid w:val="00EE6D52"/>
    <w:rsid w:val="00EF102B"/>
    <w:rsid w:val="00EF1FDC"/>
    <w:rsid w:val="00EF3BEF"/>
    <w:rsid w:val="00EF77DF"/>
    <w:rsid w:val="00F025DA"/>
    <w:rsid w:val="00F03C75"/>
    <w:rsid w:val="00F047E0"/>
    <w:rsid w:val="00F05B32"/>
    <w:rsid w:val="00F07DA1"/>
    <w:rsid w:val="00F1084F"/>
    <w:rsid w:val="00F15BDF"/>
    <w:rsid w:val="00F21A9E"/>
    <w:rsid w:val="00F21EBC"/>
    <w:rsid w:val="00F22985"/>
    <w:rsid w:val="00F245B1"/>
    <w:rsid w:val="00F24F4B"/>
    <w:rsid w:val="00F33875"/>
    <w:rsid w:val="00F33AAB"/>
    <w:rsid w:val="00F3650D"/>
    <w:rsid w:val="00F41718"/>
    <w:rsid w:val="00F418DF"/>
    <w:rsid w:val="00F4530A"/>
    <w:rsid w:val="00F518CA"/>
    <w:rsid w:val="00F524A8"/>
    <w:rsid w:val="00F53ECA"/>
    <w:rsid w:val="00F5416F"/>
    <w:rsid w:val="00F542DC"/>
    <w:rsid w:val="00F54671"/>
    <w:rsid w:val="00F60E83"/>
    <w:rsid w:val="00F6269B"/>
    <w:rsid w:val="00F62D27"/>
    <w:rsid w:val="00F7154E"/>
    <w:rsid w:val="00F7467F"/>
    <w:rsid w:val="00F7474A"/>
    <w:rsid w:val="00F80009"/>
    <w:rsid w:val="00F8363A"/>
    <w:rsid w:val="00F8366C"/>
    <w:rsid w:val="00F8613B"/>
    <w:rsid w:val="00F94EA9"/>
    <w:rsid w:val="00F94FAB"/>
    <w:rsid w:val="00FA567C"/>
    <w:rsid w:val="00FA7D72"/>
    <w:rsid w:val="00FB0F13"/>
    <w:rsid w:val="00FB2723"/>
    <w:rsid w:val="00FB64D8"/>
    <w:rsid w:val="00FB678C"/>
    <w:rsid w:val="00FB7C7A"/>
    <w:rsid w:val="00FC4B80"/>
    <w:rsid w:val="00FD0F3E"/>
    <w:rsid w:val="00FD1569"/>
    <w:rsid w:val="00FD1635"/>
    <w:rsid w:val="00FD4116"/>
    <w:rsid w:val="00FD7B31"/>
    <w:rsid w:val="00FE3668"/>
    <w:rsid w:val="00FE5D5A"/>
    <w:rsid w:val="00FF4FAB"/>
    <w:rsid w:val="00FF5CAB"/>
    <w:rsid w:val="00FF6A5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1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basedOn w:val="a"/>
    <w:uiPriority w:val="99"/>
    <w:rsid w:val="00904E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Strong"/>
    <w:uiPriority w:val="99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b">
    <w:name w:val="Table Grid"/>
    <w:basedOn w:val="a1"/>
    <w:uiPriority w:val="59"/>
    <w:rsid w:val="00904E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904EA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904EAD"/>
    <w:pPr>
      <w:ind w:left="708"/>
    </w:pPr>
  </w:style>
  <w:style w:type="paragraph" w:styleId="aff">
    <w:name w:val="No Spacing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3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"/>
    <w:basedOn w:val="a"/>
    <w:rsid w:val="00904EAD"/>
    <w:pPr>
      <w:jc w:val="both"/>
    </w:pPr>
    <w:rPr>
      <w:lang w:val="en-US"/>
    </w:rPr>
  </w:style>
  <w:style w:type="character" w:styleId="aff0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1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4">
    <w:name w:val="Сетка таблицы1"/>
    <w:basedOn w:val="a1"/>
    <w:next w:val="afb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b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2">
    <w:name w:val="Emphasis"/>
    <w:uiPriority w:val="99"/>
    <w:qFormat/>
    <w:rsid w:val="00A91A76"/>
    <w:rPr>
      <w:i/>
      <w:iCs/>
    </w:rPr>
  </w:style>
  <w:style w:type="character" w:styleId="aff3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1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basedOn w:val="a"/>
    <w:uiPriority w:val="99"/>
    <w:rsid w:val="00904E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Strong"/>
    <w:uiPriority w:val="99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b">
    <w:name w:val="Table Grid"/>
    <w:basedOn w:val="a1"/>
    <w:uiPriority w:val="59"/>
    <w:rsid w:val="00904E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904EA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904EAD"/>
    <w:pPr>
      <w:ind w:left="708"/>
    </w:pPr>
  </w:style>
  <w:style w:type="paragraph" w:styleId="aff">
    <w:name w:val="No Spacing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3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"/>
    <w:basedOn w:val="a"/>
    <w:rsid w:val="00904EAD"/>
    <w:pPr>
      <w:jc w:val="both"/>
    </w:pPr>
    <w:rPr>
      <w:lang w:val="en-US"/>
    </w:rPr>
  </w:style>
  <w:style w:type="character" w:styleId="aff0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1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4">
    <w:name w:val="Сетка таблицы1"/>
    <w:basedOn w:val="a1"/>
    <w:next w:val="afb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b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2">
    <w:name w:val="Emphasis"/>
    <w:uiPriority w:val="99"/>
    <w:qFormat/>
    <w:rsid w:val="00A91A76"/>
    <w:rPr>
      <w:i/>
      <w:iCs/>
    </w:rPr>
  </w:style>
  <w:style w:type="character" w:styleId="aff3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48ED-7454-4F46-8AB2-2D7424C0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29</Pages>
  <Words>11124</Words>
  <Characters>63408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Татьяна Г. Кононова</cp:lastModifiedBy>
  <cp:revision>178</cp:revision>
  <cp:lastPrinted>2021-08-06T06:08:00Z</cp:lastPrinted>
  <dcterms:created xsi:type="dcterms:W3CDTF">2018-06-18T05:53:00Z</dcterms:created>
  <dcterms:modified xsi:type="dcterms:W3CDTF">2021-08-06T06:11:00Z</dcterms:modified>
</cp:coreProperties>
</file>