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4B" w:rsidRDefault="000C2E4B" w:rsidP="001A6163">
      <w:pPr>
        <w:framePr w:hSpace="180" w:wrap="auto" w:vAnchor="text" w:hAnchor="page" w:x="2962" w:y="-773"/>
      </w:pPr>
    </w:p>
    <w:p w:rsidR="00B32029" w:rsidRPr="00AE77B0" w:rsidRDefault="00B32029" w:rsidP="00AE77B0">
      <w:pPr>
        <w:rPr>
          <w:szCs w:val="28"/>
        </w:rPr>
      </w:pPr>
      <w:bookmarkStart w:id="0" w:name="_GoBack"/>
      <w:bookmarkEnd w:id="0"/>
    </w:p>
    <w:p w:rsidR="00D02FE9" w:rsidRPr="001D26CF" w:rsidRDefault="001D26CF" w:rsidP="00D02FE9">
      <w:pPr>
        <w:ind w:firstLine="709"/>
        <w:jc w:val="center"/>
        <w:rPr>
          <w:szCs w:val="28"/>
          <w:lang w:val="ru-RU"/>
        </w:rPr>
      </w:pPr>
      <w:r w:rsidRPr="001D26CF">
        <w:rPr>
          <w:szCs w:val="28"/>
          <w:lang w:val="ru-RU"/>
        </w:rPr>
        <w:t>ИНФОРМАЦИЯ</w:t>
      </w:r>
    </w:p>
    <w:p w:rsidR="00CD571B" w:rsidRDefault="001D26CF" w:rsidP="001D26CF">
      <w:pPr>
        <w:ind w:firstLine="709"/>
        <w:jc w:val="center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>о ходе реализации плана мероприятий («дорожной карты») по содействию развитию конкуренции в городе Липецке на 20</w:t>
      </w:r>
      <w:r w:rsidR="003B348E">
        <w:rPr>
          <w:rFonts w:ascii="Times New Roman" w:hAnsi="Times New Roman"/>
          <w:szCs w:val="28"/>
          <w:lang w:val="ru-RU"/>
        </w:rPr>
        <w:t>19-2021 гг., утвержденного постановлением администрации города Липецка от 29.11.2019 № 2331,</w:t>
      </w:r>
    </w:p>
    <w:p w:rsidR="001D26CF" w:rsidRPr="001D26CF" w:rsidRDefault="001D26CF" w:rsidP="001D26CF">
      <w:pPr>
        <w:ind w:firstLine="709"/>
        <w:jc w:val="center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 xml:space="preserve">по итогам </w:t>
      </w:r>
      <w:r w:rsidR="00CD571B">
        <w:rPr>
          <w:rFonts w:ascii="Times New Roman" w:hAnsi="Times New Roman"/>
          <w:szCs w:val="28"/>
          <w:lang w:val="ru-RU"/>
        </w:rPr>
        <w:t>2019</w:t>
      </w:r>
      <w:r w:rsidRPr="001D26CF">
        <w:rPr>
          <w:rFonts w:ascii="Times New Roman" w:hAnsi="Times New Roman"/>
          <w:szCs w:val="28"/>
          <w:lang w:val="ru-RU"/>
        </w:rPr>
        <w:t xml:space="preserve"> года</w:t>
      </w:r>
    </w:p>
    <w:p w:rsidR="00D02FE9" w:rsidRDefault="00D02FE9" w:rsidP="00D02FE9">
      <w:pPr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3B348E">
        <w:rPr>
          <w:rFonts w:cs="Times New Roman CYR"/>
          <w:szCs w:val="28"/>
          <w:lang w:val="ru-RU"/>
        </w:rPr>
        <w:t>В целях улучшения инвестиционного климата и содействия развитию конкуренции на территории города Липецка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17.04.2019 № 768-р</w:t>
      </w:r>
      <w:r>
        <w:rPr>
          <w:rFonts w:cs="Times New Roman CYR"/>
          <w:szCs w:val="28"/>
          <w:lang w:val="ru-RU"/>
        </w:rPr>
        <w:t xml:space="preserve"> утвержден </w:t>
      </w:r>
      <w:r w:rsidR="001D26CF" w:rsidRPr="001D26CF">
        <w:rPr>
          <w:rFonts w:ascii="Times New Roman" w:hAnsi="Times New Roman"/>
          <w:szCs w:val="28"/>
          <w:lang w:val="ru-RU"/>
        </w:rPr>
        <w:t>План мероприятий («дорожная карта») по содействию развитию конкуренции в городе Липецке на 201</w:t>
      </w:r>
      <w:r w:rsidR="00D97C1B">
        <w:rPr>
          <w:rFonts w:ascii="Times New Roman" w:hAnsi="Times New Roman"/>
          <w:szCs w:val="28"/>
          <w:lang w:val="ru-RU"/>
        </w:rPr>
        <w:t>9</w:t>
      </w:r>
      <w:r w:rsidR="001D26CF" w:rsidRPr="001D26CF">
        <w:rPr>
          <w:rFonts w:ascii="Times New Roman" w:hAnsi="Times New Roman"/>
          <w:szCs w:val="28"/>
          <w:lang w:val="ru-RU"/>
        </w:rPr>
        <w:t>-202</w:t>
      </w:r>
      <w:r w:rsidR="00D97C1B">
        <w:rPr>
          <w:rFonts w:ascii="Times New Roman" w:hAnsi="Times New Roman"/>
          <w:szCs w:val="28"/>
          <w:lang w:val="ru-RU"/>
        </w:rPr>
        <w:t>1</w:t>
      </w:r>
      <w:r w:rsidR="001D26CF" w:rsidRPr="001D26CF">
        <w:rPr>
          <w:rFonts w:ascii="Times New Roman" w:hAnsi="Times New Roman"/>
          <w:szCs w:val="28"/>
          <w:lang w:val="ru-RU"/>
        </w:rPr>
        <w:t xml:space="preserve"> гг. (далее – «дорожная карта»)</w:t>
      </w:r>
      <w:r>
        <w:rPr>
          <w:rFonts w:ascii="Times New Roman" w:hAnsi="Times New Roman"/>
          <w:szCs w:val="28"/>
          <w:lang w:val="ru-RU"/>
        </w:rPr>
        <w:t>.</w:t>
      </w:r>
    </w:p>
    <w:p w:rsidR="00CD571B" w:rsidRPr="00CD571B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«Дорожная карта»</w:t>
      </w:r>
      <w:r w:rsidR="001D26CF" w:rsidRPr="001D26CF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направлена</w:t>
      </w:r>
      <w:r w:rsidR="00CD571B" w:rsidRPr="00CD571B">
        <w:rPr>
          <w:rFonts w:ascii="Times New Roman" w:hAnsi="Times New Roman"/>
          <w:szCs w:val="28"/>
          <w:lang w:val="ru-RU"/>
        </w:rPr>
        <w:t xml:space="preserve"> на развитие конкурентной среды, снижение административных и инфраструктурных барьеров на территории города Липецка.</w:t>
      </w:r>
    </w:p>
    <w:p w:rsidR="00CD571B" w:rsidRPr="00CD571B" w:rsidRDefault="00CD571B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CD571B">
        <w:rPr>
          <w:rFonts w:ascii="Times New Roman" w:hAnsi="Times New Roman"/>
          <w:szCs w:val="28"/>
          <w:lang w:val="ru-RU"/>
        </w:rPr>
        <w:t>За каждым отраслевым (функциональным) органом администрации города Липецка закреплено выполнение конкретных мероприятий, сроки их исполнения и целевые индикаторы, которые должны быть достигнуты по итогам исполнения каждого мероприятия.</w:t>
      </w:r>
    </w:p>
    <w:p w:rsidR="003B348E" w:rsidRDefault="00CD571B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CD571B">
        <w:rPr>
          <w:rFonts w:ascii="Times New Roman" w:hAnsi="Times New Roman"/>
          <w:szCs w:val="28"/>
          <w:lang w:val="ru-RU"/>
        </w:rPr>
        <w:t>Разработанные меры охватывают</w:t>
      </w:r>
      <w:r w:rsidR="003B348E">
        <w:rPr>
          <w:rFonts w:ascii="Times New Roman" w:hAnsi="Times New Roman"/>
          <w:szCs w:val="28"/>
          <w:lang w:val="ru-RU"/>
        </w:rPr>
        <w:t xml:space="preserve"> следующие</w:t>
      </w:r>
      <w:r w:rsidRPr="00CD571B">
        <w:rPr>
          <w:rFonts w:ascii="Times New Roman" w:hAnsi="Times New Roman"/>
          <w:szCs w:val="28"/>
          <w:lang w:val="ru-RU"/>
        </w:rPr>
        <w:t xml:space="preserve"> рынки</w:t>
      </w:r>
      <w:r w:rsidR="003B348E">
        <w:rPr>
          <w:rFonts w:ascii="Times New Roman" w:hAnsi="Times New Roman"/>
          <w:szCs w:val="28"/>
          <w:lang w:val="ru-RU"/>
        </w:rPr>
        <w:t>: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</w:t>
      </w:r>
      <w:r w:rsidR="00CD571B" w:rsidRPr="00CD571B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услуг дошкольного образования;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услуг общего образования;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услуг дополнительного образования детей;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психолого-педагогического сопровождения детей с ограниченными возможностями здоровья;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ритуальных услуг;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жилищного строительства (за исключением индивидуального жилищного строительства);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дорожной деятельности (за исключением проектирования);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архитектурно-строительного проектирования;</w:t>
      </w:r>
    </w:p>
    <w:p w:rsidR="003B348E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теплоснабжения (производство тепловой энергии);</w:t>
      </w:r>
    </w:p>
    <w:p w:rsidR="009B2FB6" w:rsidRDefault="003B348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B2FB6">
        <w:rPr>
          <w:rFonts w:ascii="Times New Roman" w:hAnsi="Times New Roman"/>
          <w:szCs w:val="28"/>
          <w:lang w:val="ru-RU"/>
        </w:rPr>
        <w:t>рынок выполнения работ по благоустройству городской среды;</w:t>
      </w:r>
    </w:p>
    <w:p w:rsidR="009B2FB6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выполнения работ по содержанию и текущему ремонту общего имущества собственников помещений в многоквартирном доме;</w:t>
      </w:r>
    </w:p>
    <w:p w:rsidR="00B32029" w:rsidRDefault="00B32029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9B2FB6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рынок оказания услуг по </w:t>
      </w:r>
      <w:r w:rsidR="00B32029">
        <w:rPr>
          <w:rFonts w:ascii="Times New Roman" w:hAnsi="Times New Roman"/>
          <w:szCs w:val="28"/>
          <w:lang w:val="ru-RU"/>
        </w:rPr>
        <w:t>перевозке пассажиров автомобиль</w:t>
      </w:r>
      <w:r>
        <w:rPr>
          <w:rFonts w:ascii="Times New Roman" w:hAnsi="Times New Roman"/>
          <w:szCs w:val="28"/>
          <w:lang w:val="ru-RU"/>
        </w:rPr>
        <w:t>ным транспортом по муниципальным маршрутам регулярных перевозок;</w:t>
      </w:r>
    </w:p>
    <w:p w:rsidR="009B2FB6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9B2FB6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услуг розничной торговли;</w:t>
      </w:r>
    </w:p>
    <w:p w:rsidR="009B2FB6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рынок сферы наружной рекламы.</w:t>
      </w:r>
    </w:p>
    <w:p w:rsidR="00712731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 xml:space="preserve">Конкурентная среда в сфере дошкольного образования характеризуется существенным доминированием муниципальных образовательных организаций </w:t>
      </w:r>
      <w:r w:rsidRPr="001D26CF">
        <w:rPr>
          <w:rFonts w:ascii="Times New Roman" w:hAnsi="Times New Roman"/>
          <w:szCs w:val="28"/>
          <w:lang w:val="ru-RU"/>
        </w:rPr>
        <w:lastRenderedPageBreak/>
        <w:t>над негосударственн</w:t>
      </w:r>
      <w:r>
        <w:rPr>
          <w:rFonts w:ascii="Times New Roman" w:hAnsi="Times New Roman"/>
          <w:szCs w:val="28"/>
          <w:lang w:val="ru-RU"/>
        </w:rPr>
        <w:t xml:space="preserve">ыми (частными) организациями. В городе </w:t>
      </w:r>
      <w:r w:rsidRPr="009B2FB6">
        <w:rPr>
          <w:rFonts w:ascii="Times New Roman" w:hAnsi="Times New Roman"/>
          <w:szCs w:val="28"/>
          <w:lang w:val="ru-RU"/>
        </w:rPr>
        <w:t>осуществляют деятельность 70 муниципальных детских садов, 6 школ с дошкольными группами</w:t>
      </w:r>
      <w:r w:rsidR="00712731">
        <w:rPr>
          <w:rFonts w:ascii="Times New Roman" w:hAnsi="Times New Roman"/>
          <w:szCs w:val="28"/>
          <w:lang w:val="ru-RU"/>
        </w:rPr>
        <w:t>.</w:t>
      </w:r>
      <w:r w:rsidR="00712731" w:rsidRPr="00712731">
        <w:rPr>
          <w:lang w:val="ru-RU"/>
        </w:rPr>
        <w:t xml:space="preserve"> </w:t>
      </w:r>
      <w:r w:rsidR="00712731" w:rsidRPr="00712731">
        <w:rPr>
          <w:rFonts w:ascii="Times New Roman" w:hAnsi="Times New Roman"/>
          <w:szCs w:val="28"/>
          <w:lang w:val="ru-RU"/>
        </w:rPr>
        <w:t>Негосударственный сектор дошкольного образования представлен 15 частными дошкольными образовательными организациями</w:t>
      </w:r>
      <w:r w:rsidR="00712731">
        <w:rPr>
          <w:rFonts w:ascii="Times New Roman" w:hAnsi="Times New Roman"/>
          <w:szCs w:val="28"/>
          <w:lang w:val="ru-RU"/>
        </w:rPr>
        <w:t>.</w:t>
      </w:r>
    </w:p>
    <w:p w:rsidR="009428B2" w:rsidRDefault="00D97C1B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Численность обучающихся дошкольного возраста в частных образовательных организациях, у индивидуальных предпринимателей – 612 </w:t>
      </w:r>
      <w:r w:rsidR="006916D3">
        <w:rPr>
          <w:rFonts w:ascii="Times New Roman" w:hAnsi="Times New Roman"/>
          <w:szCs w:val="28"/>
          <w:lang w:val="ru-RU"/>
        </w:rPr>
        <w:t>человек</w:t>
      </w:r>
      <w:r>
        <w:rPr>
          <w:rFonts w:ascii="Times New Roman" w:hAnsi="Times New Roman"/>
          <w:szCs w:val="28"/>
          <w:lang w:val="ru-RU"/>
        </w:rPr>
        <w:t xml:space="preserve">. Общая численность обучающихся дошкольного возраста в образовательных организациях, реализующих основные общеобразовательные программы – 30 523 </w:t>
      </w:r>
      <w:r w:rsidR="006916D3">
        <w:rPr>
          <w:rFonts w:ascii="Times New Roman" w:hAnsi="Times New Roman"/>
          <w:szCs w:val="28"/>
          <w:lang w:val="ru-RU"/>
        </w:rPr>
        <w:t>человек</w:t>
      </w:r>
      <w:r>
        <w:rPr>
          <w:rFonts w:ascii="Times New Roman" w:hAnsi="Times New Roman"/>
          <w:szCs w:val="28"/>
          <w:lang w:val="ru-RU"/>
        </w:rPr>
        <w:t>. По состоянию на 01.01.2020</w:t>
      </w:r>
      <w:r w:rsidR="00712731">
        <w:rPr>
          <w:rFonts w:ascii="Times New Roman" w:hAnsi="Times New Roman"/>
          <w:szCs w:val="28"/>
          <w:lang w:val="ru-RU"/>
        </w:rPr>
        <w:t xml:space="preserve"> значение ключевого показателя, характеризующего </w:t>
      </w:r>
      <w:r w:rsidR="009B2FB6" w:rsidRPr="001D26CF">
        <w:rPr>
          <w:rFonts w:ascii="Times New Roman" w:hAnsi="Times New Roman"/>
          <w:szCs w:val="28"/>
          <w:lang w:val="ru-RU"/>
        </w:rPr>
        <w:t>дол</w:t>
      </w:r>
      <w:r w:rsidR="00712731">
        <w:rPr>
          <w:rFonts w:ascii="Times New Roman" w:hAnsi="Times New Roman"/>
          <w:szCs w:val="28"/>
          <w:lang w:val="ru-RU"/>
        </w:rPr>
        <w:t>ю</w:t>
      </w:r>
      <w:r w:rsidR="009B2FB6" w:rsidRPr="001D26CF">
        <w:rPr>
          <w:rFonts w:ascii="Times New Roman" w:hAnsi="Times New Roman"/>
          <w:szCs w:val="28"/>
          <w:lang w:val="ru-RU"/>
        </w:rPr>
        <w:t xml:space="preserve"> детей, получающих услуги дошкольного образования в частных организациях, </w:t>
      </w:r>
      <w:r w:rsidR="00712731">
        <w:rPr>
          <w:rFonts w:ascii="Times New Roman" w:hAnsi="Times New Roman"/>
          <w:szCs w:val="28"/>
          <w:lang w:val="ru-RU"/>
        </w:rPr>
        <w:t xml:space="preserve">у индивидуальных предпринимателей, составляет </w:t>
      </w:r>
      <w:r>
        <w:rPr>
          <w:rFonts w:ascii="Times New Roman" w:hAnsi="Times New Roman"/>
          <w:szCs w:val="28"/>
          <w:lang w:val="ru-RU"/>
        </w:rPr>
        <w:t>2</w:t>
      </w:r>
      <w:r w:rsidR="00712731">
        <w:rPr>
          <w:rFonts w:ascii="Times New Roman" w:hAnsi="Times New Roman"/>
          <w:szCs w:val="28"/>
          <w:lang w:val="ru-RU"/>
        </w:rPr>
        <w:t>%</w:t>
      </w:r>
      <w:r>
        <w:rPr>
          <w:rFonts w:ascii="Times New Roman" w:hAnsi="Times New Roman"/>
          <w:szCs w:val="28"/>
          <w:lang w:val="ru-RU"/>
        </w:rPr>
        <w:t xml:space="preserve"> (при запланированном значении – 1,85</w:t>
      </w:r>
      <w:r w:rsidR="006916D3">
        <w:rPr>
          <w:rFonts w:ascii="Times New Roman" w:hAnsi="Times New Roman"/>
          <w:szCs w:val="28"/>
          <w:lang w:val="ru-RU"/>
        </w:rPr>
        <w:t>).</w:t>
      </w:r>
      <w:r w:rsidR="00712731">
        <w:rPr>
          <w:rFonts w:ascii="Times New Roman" w:hAnsi="Times New Roman"/>
          <w:szCs w:val="28"/>
          <w:lang w:val="ru-RU"/>
        </w:rPr>
        <w:t xml:space="preserve"> </w:t>
      </w:r>
    </w:p>
    <w:p w:rsidR="00712731" w:rsidRPr="00712731" w:rsidRDefault="00712731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соответствии с постановлением администрации города Липецка от 29.12.2018 № 2548 е</w:t>
      </w:r>
      <w:r w:rsidRPr="00712731">
        <w:rPr>
          <w:rFonts w:ascii="Times New Roman" w:hAnsi="Times New Roman"/>
          <w:szCs w:val="28"/>
          <w:lang w:val="ru-RU"/>
        </w:rPr>
        <w:t>жегодно из бюджета города Липецка родителям детей, посещающих частные организации дошкольного образования, предоставляется субсидия на возмещение расходов по присмотру и уходу за детьми.</w:t>
      </w:r>
    </w:p>
    <w:p w:rsidR="009B2FB6" w:rsidRDefault="009B2FB6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Дополнительно</w:t>
      </w:r>
      <w:r w:rsidRPr="001D26CF">
        <w:rPr>
          <w:rFonts w:ascii="Times New Roman" w:hAnsi="Times New Roman"/>
          <w:szCs w:val="28"/>
          <w:lang w:val="ru-RU"/>
        </w:rPr>
        <w:t xml:space="preserve"> осуществляется ряд мер по обеспечению открытости информации о частных образовательных учреждениях.</w:t>
      </w:r>
    </w:p>
    <w:p w:rsidR="009428B2" w:rsidRPr="009428B2" w:rsidRDefault="009428B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9428B2">
        <w:rPr>
          <w:rFonts w:ascii="Times New Roman" w:hAnsi="Times New Roman"/>
          <w:szCs w:val="28"/>
          <w:lang w:val="ru-RU"/>
        </w:rPr>
        <w:t>Конкурентная среда на рынке услуг общего образования характеризуется:</w:t>
      </w:r>
    </w:p>
    <w:p w:rsidR="009428B2" w:rsidRPr="009428B2" w:rsidRDefault="009428B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9428B2">
        <w:rPr>
          <w:rFonts w:ascii="Times New Roman" w:hAnsi="Times New Roman"/>
          <w:szCs w:val="28"/>
          <w:lang w:val="ru-RU"/>
        </w:rPr>
        <w:t>- стабильной численностью контингента, пользующегося услугами рынка;</w:t>
      </w:r>
    </w:p>
    <w:p w:rsidR="009B2FB6" w:rsidRDefault="009428B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9428B2">
        <w:rPr>
          <w:rFonts w:ascii="Times New Roman" w:hAnsi="Times New Roman"/>
          <w:szCs w:val="28"/>
          <w:lang w:val="ru-RU"/>
        </w:rPr>
        <w:t>- существенным доминированием муниципальных образовательных организаций над негосударственными (частными) организациями.</w:t>
      </w:r>
    </w:p>
    <w:p w:rsidR="009B2FB6" w:rsidRDefault="009428B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9428B2">
        <w:rPr>
          <w:rFonts w:ascii="Times New Roman" w:hAnsi="Times New Roman"/>
          <w:szCs w:val="28"/>
          <w:lang w:val="ru-RU"/>
        </w:rPr>
        <w:t xml:space="preserve">Муниципальная система общего образования представлена 65 образовательными организациями, в том числе 2 основными общеобразовательными учреждениями, 2 образовательными учреждениями, реализующими только адаптированные образовательные программы, 6 школами, </w:t>
      </w:r>
      <w:proofErr w:type="gramStart"/>
      <w:r w:rsidRPr="009428B2">
        <w:rPr>
          <w:rFonts w:ascii="Times New Roman" w:hAnsi="Times New Roman"/>
          <w:szCs w:val="28"/>
          <w:lang w:val="ru-RU"/>
        </w:rPr>
        <w:t>реализующими</w:t>
      </w:r>
      <w:proofErr w:type="gramEnd"/>
      <w:r w:rsidRPr="009428B2">
        <w:rPr>
          <w:rFonts w:ascii="Times New Roman" w:hAnsi="Times New Roman"/>
          <w:szCs w:val="28"/>
          <w:lang w:val="ru-RU"/>
        </w:rPr>
        <w:t xml:space="preserve"> в том числе образовательную программу дошкольного образования.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9428B2">
        <w:rPr>
          <w:rFonts w:ascii="Times New Roman" w:hAnsi="Times New Roman"/>
          <w:szCs w:val="28"/>
          <w:lang w:val="ru-RU"/>
        </w:rPr>
        <w:t>В 2019 году 100% школьников (2018 - 87,6%, 2017 – 74,3%, 2016 – 64,7%) обучаются по новым государственным образовательным стандартам (ФГОС).</w:t>
      </w:r>
    </w:p>
    <w:p w:rsidR="009428B2" w:rsidRPr="009428B2" w:rsidRDefault="00D97C1B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Доля</w:t>
      </w:r>
      <w:r w:rsidR="009428B2" w:rsidRPr="009428B2">
        <w:rPr>
          <w:rFonts w:ascii="Times New Roman" w:hAnsi="Times New Roman"/>
          <w:szCs w:val="28"/>
          <w:lang w:val="ru-RU"/>
        </w:rPr>
        <w:t xml:space="preserve"> обучающихся в частных образовательных организациях, реализующих основные </w:t>
      </w:r>
      <w:r>
        <w:rPr>
          <w:rFonts w:ascii="Times New Roman" w:hAnsi="Times New Roman"/>
          <w:szCs w:val="28"/>
          <w:lang w:val="ru-RU"/>
        </w:rPr>
        <w:t>общеобразовательные программы, п</w:t>
      </w:r>
      <w:r w:rsidRPr="009428B2">
        <w:rPr>
          <w:rFonts w:ascii="Times New Roman" w:hAnsi="Times New Roman"/>
          <w:szCs w:val="28"/>
          <w:lang w:val="ru-RU"/>
        </w:rPr>
        <w:t>о состоянию на 01.01.20</w:t>
      </w:r>
      <w:r>
        <w:rPr>
          <w:rFonts w:ascii="Times New Roman" w:hAnsi="Times New Roman"/>
          <w:szCs w:val="28"/>
          <w:lang w:val="ru-RU"/>
        </w:rPr>
        <w:t>20</w:t>
      </w:r>
      <w:r w:rsidRPr="009428B2">
        <w:rPr>
          <w:rFonts w:ascii="Times New Roman" w:hAnsi="Times New Roman"/>
          <w:szCs w:val="28"/>
          <w:lang w:val="ru-RU"/>
        </w:rPr>
        <w:t xml:space="preserve"> </w:t>
      </w:r>
      <w:r w:rsidR="009428B2" w:rsidRPr="009428B2">
        <w:rPr>
          <w:rFonts w:ascii="Times New Roman" w:hAnsi="Times New Roman"/>
          <w:szCs w:val="28"/>
          <w:lang w:val="ru-RU"/>
        </w:rPr>
        <w:t>составляет 1</w:t>
      </w:r>
      <w:r w:rsidR="009428B2">
        <w:rPr>
          <w:rFonts w:ascii="Times New Roman" w:hAnsi="Times New Roman"/>
          <w:szCs w:val="28"/>
          <w:lang w:val="ru-RU"/>
        </w:rPr>
        <w:t>,3</w:t>
      </w:r>
      <w:r>
        <w:rPr>
          <w:rFonts w:ascii="Times New Roman" w:hAnsi="Times New Roman"/>
          <w:szCs w:val="28"/>
          <w:lang w:val="ru-RU"/>
        </w:rPr>
        <w:t>%, что соответствует плановому значению.</w:t>
      </w:r>
    </w:p>
    <w:p w:rsidR="009428B2" w:rsidRPr="009428B2" w:rsidRDefault="009428B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9428B2">
        <w:rPr>
          <w:rFonts w:ascii="Times New Roman" w:hAnsi="Times New Roman"/>
          <w:szCs w:val="28"/>
          <w:lang w:val="ru-RU"/>
        </w:rPr>
        <w:t>На рынке услуг дополнительного образования города Липецка преобладают учреждения бюджетной сферы. В городе Липе</w:t>
      </w:r>
      <w:r>
        <w:rPr>
          <w:rFonts w:ascii="Times New Roman" w:hAnsi="Times New Roman"/>
          <w:szCs w:val="28"/>
          <w:lang w:val="ru-RU"/>
        </w:rPr>
        <w:t xml:space="preserve">цке осуществляют деятельность </w:t>
      </w:r>
      <w:r w:rsidR="00B32029">
        <w:rPr>
          <w:rFonts w:ascii="Times New Roman" w:hAnsi="Times New Roman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  <w:lang w:val="ru-RU"/>
        </w:rPr>
        <w:t>2</w:t>
      </w:r>
      <w:r w:rsidR="00211271">
        <w:rPr>
          <w:rFonts w:ascii="Times New Roman" w:hAnsi="Times New Roman"/>
          <w:szCs w:val="28"/>
          <w:lang w:val="ru-RU"/>
        </w:rPr>
        <w:t>6</w:t>
      </w:r>
      <w:r w:rsidRPr="009428B2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9428B2">
        <w:rPr>
          <w:rFonts w:ascii="Times New Roman" w:hAnsi="Times New Roman"/>
          <w:szCs w:val="28"/>
          <w:lang w:val="ru-RU"/>
        </w:rPr>
        <w:t>муниципальных</w:t>
      </w:r>
      <w:proofErr w:type="gramEnd"/>
      <w:r w:rsidRPr="009428B2">
        <w:rPr>
          <w:rFonts w:ascii="Times New Roman" w:hAnsi="Times New Roman"/>
          <w:szCs w:val="28"/>
          <w:lang w:val="ru-RU"/>
        </w:rPr>
        <w:t xml:space="preserve"> учреждения дополнительного образования</w:t>
      </w:r>
      <w:r>
        <w:rPr>
          <w:rFonts w:ascii="Times New Roman" w:hAnsi="Times New Roman"/>
          <w:szCs w:val="28"/>
          <w:lang w:val="ru-RU"/>
        </w:rPr>
        <w:t xml:space="preserve"> и </w:t>
      </w:r>
      <w:r w:rsidR="00B32029">
        <w:rPr>
          <w:rFonts w:ascii="Times New Roman" w:hAnsi="Times New Roman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Cs w:val="28"/>
          <w:lang w:val="ru-RU"/>
        </w:rPr>
        <w:t xml:space="preserve">4 государственных учреждения. </w:t>
      </w:r>
    </w:p>
    <w:p w:rsidR="00245288" w:rsidRDefault="009428B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9428B2">
        <w:rPr>
          <w:rFonts w:ascii="Times New Roman" w:hAnsi="Times New Roman"/>
          <w:szCs w:val="28"/>
          <w:lang w:val="ru-RU"/>
        </w:rPr>
        <w:t xml:space="preserve">Негосударственный сектор дополнительного образования представлен </w:t>
      </w:r>
      <w:r w:rsidR="00B32029">
        <w:rPr>
          <w:rFonts w:ascii="Times New Roman" w:hAnsi="Times New Roman"/>
          <w:szCs w:val="28"/>
          <w:lang w:val="ru-RU"/>
        </w:rPr>
        <w:t xml:space="preserve">          </w:t>
      </w:r>
      <w:r w:rsidR="00A9730A">
        <w:rPr>
          <w:rFonts w:ascii="Times New Roman" w:hAnsi="Times New Roman"/>
          <w:szCs w:val="28"/>
          <w:lang w:val="ru-RU"/>
        </w:rPr>
        <w:t xml:space="preserve">9 </w:t>
      </w:r>
      <w:r>
        <w:rPr>
          <w:rFonts w:ascii="Times New Roman" w:hAnsi="Times New Roman"/>
          <w:szCs w:val="28"/>
          <w:lang w:val="ru-RU"/>
        </w:rPr>
        <w:t>частными учреждениями дополните</w:t>
      </w:r>
      <w:r w:rsidR="00A9730A">
        <w:rPr>
          <w:rFonts w:ascii="Times New Roman" w:hAnsi="Times New Roman"/>
          <w:szCs w:val="28"/>
          <w:lang w:val="ru-RU"/>
        </w:rPr>
        <w:t>льного образования, включенными (</w:t>
      </w:r>
      <w:r>
        <w:rPr>
          <w:rFonts w:ascii="Times New Roman" w:hAnsi="Times New Roman"/>
          <w:szCs w:val="28"/>
          <w:lang w:val="ru-RU"/>
        </w:rPr>
        <w:t>претендующими на включение</w:t>
      </w:r>
      <w:r w:rsidR="00A9730A">
        <w:rPr>
          <w:rFonts w:ascii="Times New Roman" w:hAnsi="Times New Roman"/>
          <w:szCs w:val="28"/>
          <w:lang w:val="ru-RU"/>
        </w:rPr>
        <w:t>)</w:t>
      </w:r>
      <w:r>
        <w:rPr>
          <w:rFonts w:ascii="Times New Roman" w:hAnsi="Times New Roman"/>
          <w:szCs w:val="28"/>
          <w:lang w:val="ru-RU"/>
        </w:rPr>
        <w:t xml:space="preserve"> в реестр поставщиков образовательных услуг в ИС «Навигатор дополнительного образования Липецкой области». </w:t>
      </w:r>
      <w:r w:rsidR="00245288">
        <w:rPr>
          <w:rFonts w:ascii="Times New Roman" w:hAnsi="Times New Roman"/>
          <w:szCs w:val="28"/>
          <w:lang w:val="ru-RU"/>
        </w:rPr>
        <w:t>Кроме того, ряд индивидуальных предпринимателей, оказыва</w:t>
      </w:r>
      <w:r w:rsidR="00D97C1B">
        <w:rPr>
          <w:rFonts w:ascii="Times New Roman" w:hAnsi="Times New Roman"/>
          <w:szCs w:val="28"/>
          <w:lang w:val="ru-RU"/>
        </w:rPr>
        <w:t>ющих</w:t>
      </w:r>
      <w:r w:rsidR="00245288">
        <w:rPr>
          <w:rFonts w:ascii="Times New Roman" w:hAnsi="Times New Roman"/>
          <w:szCs w:val="28"/>
          <w:lang w:val="ru-RU"/>
        </w:rPr>
        <w:t xml:space="preserve"> услуги по реализации дополнительных общеобразовательных программ, не вошли</w:t>
      </w:r>
      <w:r w:rsidR="00A9730A">
        <w:rPr>
          <w:rFonts w:ascii="Times New Roman" w:hAnsi="Times New Roman"/>
          <w:szCs w:val="28"/>
          <w:lang w:val="ru-RU"/>
        </w:rPr>
        <w:t xml:space="preserve"> в указанный</w:t>
      </w:r>
      <w:r w:rsidR="00245288">
        <w:rPr>
          <w:rFonts w:ascii="Times New Roman" w:hAnsi="Times New Roman"/>
          <w:szCs w:val="28"/>
          <w:lang w:val="ru-RU"/>
        </w:rPr>
        <w:t xml:space="preserve"> реестр поставщиков образовательных услуг</w:t>
      </w:r>
      <w:r w:rsidR="00A9730A">
        <w:rPr>
          <w:rFonts w:ascii="Times New Roman" w:hAnsi="Times New Roman"/>
          <w:szCs w:val="28"/>
          <w:lang w:val="ru-RU"/>
        </w:rPr>
        <w:t>.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По состоянию на 01.01.2020 плановое</w:t>
      </w:r>
      <w:r w:rsidRPr="00245288">
        <w:rPr>
          <w:rFonts w:ascii="Times New Roman" w:hAnsi="Times New Roman"/>
          <w:szCs w:val="28"/>
          <w:lang w:val="ru-RU"/>
        </w:rPr>
        <w:t xml:space="preserve"> значение показателя, характеризующего долю организаций частной формы собственности в сфере дополнительного образования детей</w:t>
      </w:r>
      <w:r>
        <w:rPr>
          <w:rFonts w:ascii="Times New Roman" w:hAnsi="Times New Roman"/>
          <w:szCs w:val="28"/>
          <w:lang w:val="ru-RU"/>
        </w:rPr>
        <w:t xml:space="preserve">, достигнуто и </w:t>
      </w:r>
      <w:r w:rsidR="00A9730A">
        <w:rPr>
          <w:rFonts w:ascii="Times New Roman" w:hAnsi="Times New Roman"/>
          <w:szCs w:val="28"/>
          <w:lang w:val="ru-RU"/>
        </w:rPr>
        <w:t xml:space="preserve">составляет </w:t>
      </w:r>
      <w:r>
        <w:rPr>
          <w:rFonts w:ascii="Times New Roman" w:hAnsi="Times New Roman"/>
          <w:szCs w:val="28"/>
          <w:lang w:val="ru-RU"/>
        </w:rPr>
        <w:t>25%.</w:t>
      </w:r>
      <w:r w:rsidRPr="00245288">
        <w:rPr>
          <w:rFonts w:ascii="Times New Roman" w:hAnsi="Times New Roman"/>
          <w:szCs w:val="28"/>
          <w:lang w:val="ru-RU"/>
        </w:rPr>
        <w:t xml:space="preserve"> 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На территории города Липецка психолого-педагогическая и медико-социальная помощь детям с ограниченными возможностями здоровья </w:t>
      </w:r>
      <w:r w:rsidR="00A9730A">
        <w:rPr>
          <w:rFonts w:ascii="Times New Roman" w:hAnsi="Times New Roman"/>
          <w:szCs w:val="28"/>
          <w:lang w:val="ru-RU"/>
        </w:rPr>
        <w:t xml:space="preserve">   </w:t>
      </w:r>
      <w:r w:rsidRPr="00245288">
        <w:rPr>
          <w:rFonts w:ascii="Times New Roman" w:hAnsi="Times New Roman"/>
          <w:szCs w:val="28"/>
          <w:lang w:val="ru-RU"/>
        </w:rPr>
        <w:t xml:space="preserve">оказывается </w:t>
      </w:r>
      <w:proofErr w:type="gramStart"/>
      <w:r w:rsidRPr="00245288">
        <w:rPr>
          <w:rFonts w:ascii="Times New Roman" w:hAnsi="Times New Roman"/>
          <w:szCs w:val="28"/>
          <w:lang w:val="ru-RU"/>
        </w:rPr>
        <w:t>в</w:t>
      </w:r>
      <w:proofErr w:type="gramEnd"/>
      <w:r w:rsidRPr="00245288">
        <w:rPr>
          <w:rFonts w:ascii="Times New Roman" w:hAnsi="Times New Roman"/>
          <w:szCs w:val="28"/>
          <w:lang w:val="ru-RU"/>
        </w:rPr>
        <w:t>: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- 70 муниципальных дошколь</w:t>
      </w:r>
      <w:r w:rsidR="00161DCE">
        <w:rPr>
          <w:rFonts w:ascii="Times New Roman" w:hAnsi="Times New Roman"/>
          <w:szCs w:val="28"/>
          <w:lang w:val="ru-RU"/>
        </w:rPr>
        <w:t xml:space="preserve">ных образовательных </w:t>
      </w:r>
      <w:proofErr w:type="gramStart"/>
      <w:r w:rsidR="00161DCE">
        <w:rPr>
          <w:rFonts w:ascii="Times New Roman" w:hAnsi="Times New Roman"/>
          <w:szCs w:val="28"/>
          <w:lang w:val="ru-RU"/>
        </w:rPr>
        <w:t>учреждениях</w:t>
      </w:r>
      <w:proofErr w:type="gramEnd"/>
      <w:r w:rsidR="00161DCE">
        <w:rPr>
          <w:rFonts w:ascii="Times New Roman" w:hAnsi="Times New Roman"/>
          <w:szCs w:val="28"/>
          <w:lang w:val="ru-RU"/>
        </w:rPr>
        <w:t>;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- 65 муниципальных общеобразовательных </w:t>
      </w:r>
      <w:proofErr w:type="gramStart"/>
      <w:r w:rsidRPr="00245288">
        <w:rPr>
          <w:rFonts w:ascii="Times New Roman" w:hAnsi="Times New Roman"/>
          <w:szCs w:val="28"/>
          <w:lang w:val="ru-RU"/>
        </w:rPr>
        <w:t>учреждениях</w:t>
      </w:r>
      <w:proofErr w:type="gramEnd"/>
      <w:r w:rsidR="00161DCE">
        <w:rPr>
          <w:rFonts w:ascii="Times New Roman" w:hAnsi="Times New Roman"/>
          <w:szCs w:val="28"/>
          <w:lang w:val="ru-RU"/>
        </w:rPr>
        <w:t>;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-15 частных дошкольн</w:t>
      </w:r>
      <w:r w:rsidR="00161DCE">
        <w:rPr>
          <w:rFonts w:ascii="Times New Roman" w:hAnsi="Times New Roman"/>
          <w:szCs w:val="28"/>
          <w:lang w:val="ru-RU"/>
        </w:rPr>
        <w:t>ых образовательных организациях;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- 3 негосударственных общеобразовательных </w:t>
      </w:r>
      <w:proofErr w:type="gramStart"/>
      <w:r w:rsidRPr="00245288">
        <w:rPr>
          <w:rFonts w:ascii="Times New Roman" w:hAnsi="Times New Roman"/>
          <w:szCs w:val="28"/>
          <w:lang w:val="ru-RU"/>
        </w:rPr>
        <w:t>учреждениях</w:t>
      </w:r>
      <w:proofErr w:type="gramEnd"/>
      <w:r w:rsidRPr="00245288">
        <w:rPr>
          <w:rFonts w:ascii="Times New Roman" w:hAnsi="Times New Roman"/>
          <w:szCs w:val="28"/>
          <w:lang w:val="ru-RU"/>
        </w:rPr>
        <w:t xml:space="preserve"> (ЧОУ школа «Интеграл», НОУ СООШ «Диалог», православная гимназия имени преподобного Амвро</w:t>
      </w:r>
      <w:r w:rsidR="00161DCE">
        <w:rPr>
          <w:rFonts w:ascii="Times New Roman" w:hAnsi="Times New Roman"/>
          <w:szCs w:val="28"/>
          <w:lang w:val="ru-RU"/>
        </w:rPr>
        <w:t xml:space="preserve">сия </w:t>
      </w:r>
      <w:proofErr w:type="spellStart"/>
      <w:r w:rsidR="00161DCE">
        <w:rPr>
          <w:rFonts w:ascii="Times New Roman" w:hAnsi="Times New Roman"/>
          <w:szCs w:val="28"/>
          <w:lang w:val="ru-RU"/>
        </w:rPr>
        <w:t>Оптинского</w:t>
      </w:r>
      <w:proofErr w:type="spellEnd"/>
      <w:r w:rsidR="00161DCE">
        <w:rPr>
          <w:rFonts w:ascii="Times New Roman" w:hAnsi="Times New Roman"/>
          <w:szCs w:val="28"/>
          <w:lang w:val="ru-RU"/>
        </w:rPr>
        <w:t xml:space="preserve"> Липецкой Епархии</w:t>
      </w:r>
      <w:r w:rsidR="00D97C1B">
        <w:rPr>
          <w:rFonts w:ascii="Times New Roman" w:hAnsi="Times New Roman"/>
          <w:szCs w:val="28"/>
          <w:lang w:val="ru-RU"/>
        </w:rPr>
        <w:t>)</w:t>
      </w:r>
      <w:r w:rsidR="00161DCE">
        <w:rPr>
          <w:rFonts w:ascii="Times New Roman" w:hAnsi="Times New Roman"/>
          <w:szCs w:val="28"/>
          <w:lang w:val="ru-RU"/>
        </w:rPr>
        <w:t>;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- </w:t>
      </w:r>
      <w:proofErr w:type="gramStart"/>
      <w:r w:rsidRPr="00245288">
        <w:rPr>
          <w:rFonts w:ascii="Times New Roman" w:hAnsi="Times New Roman"/>
          <w:szCs w:val="28"/>
          <w:lang w:val="ru-RU"/>
        </w:rPr>
        <w:t>Центре</w:t>
      </w:r>
      <w:proofErr w:type="gramEnd"/>
      <w:r w:rsidRPr="00245288">
        <w:rPr>
          <w:rFonts w:ascii="Times New Roman" w:hAnsi="Times New Roman"/>
          <w:szCs w:val="28"/>
          <w:lang w:val="ru-RU"/>
        </w:rPr>
        <w:t xml:space="preserve"> психолого-педагогической, медицинской и соци</w:t>
      </w:r>
      <w:r w:rsidR="00161DCE">
        <w:rPr>
          <w:rFonts w:ascii="Times New Roman" w:hAnsi="Times New Roman"/>
          <w:szCs w:val="28"/>
          <w:lang w:val="ru-RU"/>
        </w:rPr>
        <w:t>альной помощи Липецкой области;</w:t>
      </w:r>
    </w:p>
    <w:p w:rsid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- </w:t>
      </w:r>
      <w:proofErr w:type="gramStart"/>
      <w:r w:rsidRPr="00245288">
        <w:rPr>
          <w:rFonts w:ascii="Times New Roman" w:hAnsi="Times New Roman"/>
          <w:szCs w:val="28"/>
          <w:lang w:val="ru-RU"/>
        </w:rPr>
        <w:t>Центре</w:t>
      </w:r>
      <w:proofErr w:type="gramEnd"/>
      <w:r w:rsidRPr="00245288">
        <w:rPr>
          <w:rFonts w:ascii="Times New Roman" w:hAnsi="Times New Roman"/>
          <w:szCs w:val="28"/>
          <w:lang w:val="ru-RU"/>
        </w:rPr>
        <w:t xml:space="preserve"> дистанционного образования детей-инвалидов Липецкой области (обособленное структурное подразделение Государственного областного автономного общеобразовательного учреждения «Центр образования</w:t>
      </w:r>
      <w:r w:rsidR="00161DCE">
        <w:rPr>
          <w:rFonts w:ascii="Times New Roman" w:hAnsi="Times New Roman"/>
          <w:szCs w:val="28"/>
          <w:lang w:val="ru-RU"/>
        </w:rPr>
        <w:t>, реабилитации и оздоровления»);</w:t>
      </w:r>
    </w:p>
    <w:p w:rsidR="00161DCE" w:rsidRPr="00245288" w:rsidRDefault="00161DC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</w:t>
      </w:r>
      <w:proofErr w:type="gramStart"/>
      <w:r>
        <w:rPr>
          <w:rFonts w:ascii="Times New Roman" w:hAnsi="Times New Roman"/>
          <w:szCs w:val="28"/>
          <w:lang w:val="ru-RU"/>
        </w:rPr>
        <w:t>Центре</w:t>
      </w:r>
      <w:proofErr w:type="gramEnd"/>
      <w:r>
        <w:rPr>
          <w:rFonts w:ascii="Times New Roman" w:hAnsi="Times New Roman"/>
          <w:szCs w:val="28"/>
          <w:lang w:val="ru-RU"/>
        </w:rPr>
        <w:t xml:space="preserve"> развития семейных форм устройства «Семья»;</w:t>
      </w:r>
    </w:p>
    <w:p w:rsid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- Липецкой региональной общественной организа</w:t>
      </w:r>
      <w:r w:rsidR="00161DCE">
        <w:rPr>
          <w:rFonts w:ascii="Times New Roman" w:hAnsi="Times New Roman"/>
          <w:szCs w:val="28"/>
          <w:lang w:val="ru-RU"/>
        </w:rPr>
        <w:t>ции инвалидов «Школа мастеров»;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- Липецкой региональной общественной организации родителей и детей с расстройством аутистического спектра «</w:t>
      </w:r>
      <w:proofErr w:type="spellStart"/>
      <w:r w:rsidRPr="00245288">
        <w:rPr>
          <w:rFonts w:ascii="Times New Roman" w:hAnsi="Times New Roman"/>
          <w:szCs w:val="28"/>
          <w:lang w:val="ru-RU"/>
        </w:rPr>
        <w:t>ВыРАСтите</w:t>
      </w:r>
      <w:proofErr w:type="spellEnd"/>
      <w:r w:rsidRPr="00245288">
        <w:rPr>
          <w:rFonts w:ascii="Times New Roman" w:hAnsi="Times New Roman"/>
          <w:szCs w:val="28"/>
          <w:lang w:val="ru-RU"/>
        </w:rPr>
        <w:t xml:space="preserve"> мир. Аутизм в Липецке»,</w:t>
      </w:r>
    </w:p>
    <w:p w:rsid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- Липецкой региональной общественной организации помощи инвали</w:t>
      </w:r>
      <w:r w:rsidR="00161DCE">
        <w:rPr>
          <w:rFonts w:ascii="Times New Roman" w:hAnsi="Times New Roman"/>
          <w:szCs w:val="28"/>
          <w:lang w:val="ru-RU"/>
        </w:rPr>
        <w:t>дам и их семьям «Солнечный мир»;</w:t>
      </w:r>
    </w:p>
    <w:p w:rsidR="00161DCE" w:rsidRPr="00245288" w:rsidRDefault="00161DCE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Липецкой областной общественной организации «Родители против наркотиков».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Рынок услуг психолого-педагогического сопровождения детей с ограниченными возможностями здоровья характеризуется недостаточным уровнем развития частного сектора</w:t>
      </w:r>
      <w:r w:rsidR="00D97C1B">
        <w:rPr>
          <w:rFonts w:ascii="Times New Roman" w:hAnsi="Times New Roman"/>
          <w:szCs w:val="28"/>
          <w:lang w:val="ru-RU"/>
        </w:rPr>
        <w:t xml:space="preserve">, что обусловлено </w:t>
      </w:r>
      <w:r w:rsidRPr="00245288">
        <w:rPr>
          <w:rFonts w:ascii="Times New Roman" w:hAnsi="Times New Roman"/>
          <w:szCs w:val="28"/>
          <w:lang w:val="ru-RU"/>
        </w:rPr>
        <w:t>недостаточны</w:t>
      </w:r>
      <w:r w:rsidR="00D97C1B">
        <w:rPr>
          <w:rFonts w:ascii="Times New Roman" w:hAnsi="Times New Roman"/>
          <w:szCs w:val="28"/>
          <w:lang w:val="ru-RU"/>
        </w:rPr>
        <w:t>м</w:t>
      </w:r>
      <w:r w:rsidRPr="00245288">
        <w:rPr>
          <w:rFonts w:ascii="Times New Roman" w:hAnsi="Times New Roman"/>
          <w:szCs w:val="28"/>
          <w:lang w:val="ru-RU"/>
        </w:rPr>
        <w:t xml:space="preserve"> уров</w:t>
      </w:r>
      <w:r w:rsidR="00D97C1B">
        <w:rPr>
          <w:rFonts w:ascii="Times New Roman" w:hAnsi="Times New Roman"/>
          <w:szCs w:val="28"/>
          <w:lang w:val="ru-RU"/>
        </w:rPr>
        <w:t>нем платежеспособности населения, а также недостатком</w:t>
      </w:r>
      <w:r w:rsidRPr="00245288">
        <w:rPr>
          <w:rFonts w:ascii="Times New Roman" w:hAnsi="Times New Roman"/>
          <w:szCs w:val="28"/>
          <w:lang w:val="ru-RU"/>
        </w:rPr>
        <w:t xml:space="preserve"> квалифицированных кадров на рынке труда.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В 201</w:t>
      </w:r>
      <w:r w:rsidR="00161DCE">
        <w:rPr>
          <w:rFonts w:ascii="Times New Roman" w:hAnsi="Times New Roman"/>
          <w:szCs w:val="28"/>
          <w:lang w:val="ru-RU"/>
        </w:rPr>
        <w:t>9</w:t>
      </w:r>
      <w:r w:rsidRPr="00245288">
        <w:rPr>
          <w:rFonts w:ascii="Times New Roman" w:hAnsi="Times New Roman"/>
          <w:szCs w:val="28"/>
          <w:lang w:val="ru-RU"/>
        </w:rPr>
        <w:t xml:space="preserve"> году </w:t>
      </w:r>
      <w:r w:rsidR="00161DCE">
        <w:rPr>
          <w:rFonts w:ascii="Times New Roman" w:hAnsi="Times New Roman"/>
          <w:szCs w:val="28"/>
          <w:lang w:val="ru-RU"/>
        </w:rPr>
        <w:t>продолжена работа по реализации</w:t>
      </w:r>
      <w:r w:rsidRPr="00245288">
        <w:rPr>
          <w:rFonts w:ascii="Times New Roman" w:hAnsi="Times New Roman"/>
          <w:szCs w:val="28"/>
          <w:lang w:val="ru-RU"/>
        </w:rPr>
        <w:t xml:space="preserve"> муниципальн</w:t>
      </w:r>
      <w:r w:rsidR="00161DCE">
        <w:rPr>
          <w:rFonts w:ascii="Times New Roman" w:hAnsi="Times New Roman"/>
          <w:szCs w:val="28"/>
          <w:lang w:val="ru-RU"/>
        </w:rPr>
        <w:t>ого</w:t>
      </w:r>
      <w:r w:rsidRPr="00245288">
        <w:rPr>
          <w:rFonts w:ascii="Times New Roman" w:hAnsi="Times New Roman"/>
          <w:szCs w:val="28"/>
          <w:lang w:val="ru-RU"/>
        </w:rPr>
        <w:t xml:space="preserve"> проект</w:t>
      </w:r>
      <w:r w:rsidR="00161DCE">
        <w:rPr>
          <w:rFonts w:ascii="Times New Roman" w:hAnsi="Times New Roman"/>
          <w:szCs w:val="28"/>
          <w:lang w:val="ru-RU"/>
        </w:rPr>
        <w:t>а</w:t>
      </w:r>
      <w:r w:rsidRPr="00245288">
        <w:rPr>
          <w:rFonts w:ascii="Times New Roman" w:hAnsi="Times New Roman"/>
          <w:szCs w:val="28"/>
          <w:lang w:val="ru-RU"/>
        </w:rPr>
        <w:t xml:space="preserve"> «Инклюзивное образование: толерантность, доступность, качество». Цель проекта – </w:t>
      </w:r>
      <w:r w:rsidR="00D97C1B">
        <w:rPr>
          <w:rFonts w:ascii="Times New Roman" w:hAnsi="Times New Roman"/>
          <w:szCs w:val="28"/>
          <w:lang w:val="ru-RU"/>
        </w:rPr>
        <w:t>обеспечить участие детей</w:t>
      </w:r>
      <w:r w:rsidRPr="00245288">
        <w:rPr>
          <w:rFonts w:ascii="Times New Roman" w:hAnsi="Times New Roman"/>
          <w:szCs w:val="28"/>
          <w:lang w:val="ru-RU"/>
        </w:rPr>
        <w:t xml:space="preserve"> с ограниченными возможностями здоровья в совместн</w:t>
      </w:r>
      <w:r w:rsidR="00D97C1B">
        <w:rPr>
          <w:rFonts w:ascii="Times New Roman" w:hAnsi="Times New Roman"/>
          <w:szCs w:val="28"/>
          <w:lang w:val="ru-RU"/>
        </w:rPr>
        <w:t>о</w:t>
      </w:r>
      <w:r w:rsidR="006916D3">
        <w:rPr>
          <w:rFonts w:ascii="Times New Roman" w:hAnsi="Times New Roman"/>
          <w:szCs w:val="28"/>
          <w:lang w:val="ru-RU"/>
        </w:rPr>
        <w:t>м</w:t>
      </w:r>
      <w:r w:rsidRPr="00245288">
        <w:rPr>
          <w:rFonts w:ascii="Times New Roman" w:hAnsi="Times New Roman"/>
          <w:szCs w:val="28"/>
          <w:lang w:val="ru-RU"/>
        </w:rPr>
        <w:t xml:space="preserve"> с другими детьми образовательн</w:t>
      </w:r>
      <w:r w:rsidR="00D97C1B">
        <w:rPr>
          <w:rFonts w:ascii="Times New Roman" w:hAnsi="Times New Roman"/>
          <w:szCs w:val="28"/>
          <w:lang w:val="ru-RU"/>
        </w:rPr>
        <w:t xml:space="preserve">ом </w:t>
      </w:r>
      <w:r w:rsidRPr="00245288">
        <w:rPr>
          <w:rFonts w:ascii="Times New Roman" w:hAnsi="Times New Roman"/>
          <w:szCs w:val="28"/>
          <w:lang w:val="ru-RU"/>
        </w:rPr>
        <w:t>процесс</w:t>
      </w:r>
      <w:r w:rsidR="00D97C1B">
        <w:rPr>
          <w:rFonts w:ascii="Times New Roman" w:hAnsi="Times New Roman"/>
          <w:szCs w:val="28"/>
          <w:lang w:val="ru-RU"/>
        </w:rPr>
        <w:t>е</w:t>
      </w:r>
      <w:r w:rsidRPr="00245288">
        <w:rPr>
          <w:rFonts w:ascii="Times New Roman" w:hAnsi="Times New Roman"/>
          <w:szCs w:val="28"/>
          <w:lang w:val="ru-RU"/>
        </w:rPr>
        <w:t>, в общ</w:t>
      </w:r>
      <w:r w:rsidR="00D97C1B">
        <w:rPr>
          <w:rFonts w:ascii="Times New Roman" w:hAnsi="Times New Roman"/>
          <w:szCs w:val="28"/>
          <w:lang w:val="ru-RU"/>
        </w:rPr>
        <w:t>ей</w:t>
      </w:r>
      <w:r w:rsidRPr="00245288">
        <w:rPr>
          <w:rFonts w:ascii="Times New Roman" w:hAnsi="Times New Roman"/>
          <w:szCs w:val="28"/>
          <w:lang w:val="ru-RU"/>
        </w:rPr>
        <w:t xml:space="preserve"> урочн</w:t>
      </w:r>
      <w:r w:rsidR="00D97C1B">
        <w:rPr>
          <w:rFonts w:ascii="Times New Roman" w:hAnsi="Times New Roman"/>
          <w:szCs w:val="28"/>
          <w:lang w:val="ru-RU"/>
        </w:rPr>
        <w:t>ой</w:t>
      </w:r>
      <w:r w:rsidRPr="00245288">
        <w:rPr>
          <w:rFonts w:ascii="Times New Roman" w:hAnsi="Times New Roman"/>
          <w:szCs w:val="28"/>
          <w:lang w:val="ru-RU"/>
        </w:rPr>
        <w:t xml:space="preserve"> и внеурочн</w:t>
      </w:r>
      <w:r w:rsidR="00D97C1B">
        <w:rPr>
          <w:rFonts w:ascii="Times New Roman" w:hAnsi="Times New Roman"/>
          <w:szCs w:val="28"/>
          <w:lang w:val="ru-RU"/>
        </w:rPr>
        <w:t>ой деятельности</w:t>
      </w:r>
      <w:r w:rsidRPr="00245288">
        <w:rPr>
          <w:rFonts w:ascii="Times New Roman" w:hAnsi="Times New Roman"/>
          <w:szCs w:val="28"/>
          <w:lang w:val="ru-RU"/>
        </w:rPr>
        <w:t>. Результатом работы по данному направлению стало: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>-  обеспечение функционирования 2 общеобразовательных учреждений, реализующих только адаптированные общеобразовательные программы,  специальных классов в 10-ти школ</w:t>
      </w:r>
      <w:r w:rsidR="00D97C1B">
        <w:rPr>
          <w:rFonts w:ascii="Times New Roman" w:hAnsi="Times New Roman"/>
          <w:szCs w:val="28"/>
          <w:lang w:val="ru-RU"/>
        </w:rPr>
        <w:t>ах города;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- открытие новых специальных классов в ОУ № 6 для детей с ОВЗ, имеющих нарушения опорно-двигательного аппарата (ОДА), ОУ № 8 – для детей с ОВЗ, имеющих задержку психического развития, ОУ № 25 – для детей с ОВЗ, имеющих нарушения психики и интеллекта, ОУ № 70 – тяжелые нарушения речи. Осуществляется воспитание детей по адаптированным программам в 233 группах </w:t>
      </w:r>
      <w:r w:rsidRPr="00245288">
        <w:rPr>
          <w:rFonts w:ascii="Times New Roman" w:hAnsi="Times New Roman"/>
          <w:szCs w:val="28"/>
          <w:lang w:val="ru-RU"/>
        </w:rPr>
        <w:lastRenderedPageBreak/>
        <w:t xml:space="preserve">ДОУ для детей с </w:t>
      </w:r>
      <w:r w:rsidR="00A9730A">
        <w:rPr>
          <w:rFonts w:ascii="Times New Roman" w:hAnsi="Times New Roman"/>
          <w:szCs w:val="28"/>
          <w:lang w:val="ru-RU"/>
        </w:rPr>
        <w:t xml:space="preserve">нарушением речи, слуха, зрения и </w:t>
      </w:r>
      <w:r w:rsidRPr="00245288">
        <w:rPr>
          <w:rFonts w:ascii="Times New Roman" w:hAnsi="Times New Roman"/>
          <w:szCs w:val="28"/>
          <w:lang w:val="ru-RU"/>
        </w:rPr>
        <w:t>опорно-двигательного аппарата</w:t>
      </w:r>
      <w:r w:rsidR="00A9730A">
        <w:rPr>
          <w:rFonts w:ascii="Times New Roman" w:hAnsi="Times New Roman"/>
          <w:szCs w:val="28"/>
          <w:lang w:val="ru-RU"/>
        </w:rPr>
        <w:t>.</w:t>
      </w:r>
    </w:p>
    <w:p w:rsidR="00245288" w:rsidRPr="00245288" w:rsidRDefault="00245288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245288">
        <w:rPr>
          <w:rFonts w:ascii="Times New Roman" w:hAnsi="Times New Roman"/>
          <w:szCs w:val="28"/>
          <w:lang w:val="ru-RU"/>
        </w:rPr>
        <w:t xml:space="preserve">В рамках муниципального проекта предусмотрена организация взаимодействия учреждений различной формы собственности по вопросам организации  психолого-педагогического сопровождения детей с ограниченными возможностями здоровья. </w:t>
      </w:r>
    </w:p>
    <w:p w:rsidR="009B2FB6" w:rsidRDefault="00D97C1B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 состоянию на 01.01.2020 доля</w:t>
      </w:r>
      <w:r w:rsidR="00245288" w:rsidRPr="00245288">
        <w:rPr>
          <w:rFonts w:ascii="Times New Roman" w:hAnsi="Times New Roman"/>
          <w:szCs w:val="28"/>
          <w:lang w:val="ru-RU"/>
        </w:rPr>
        <w:t xml:space="preserve"> организаций частной формы собственности в сфере услуг психолого-педагогического сопровождения детей </w:t>
      </w:r>
      <w:proofErr w:type="gramStart"/>
      <w:r w:rsidR="00245288" w:rsidRPr="00245288">
        <w:rPr>
          <w:rFonts w:ascii="Times New Roman" w:hAnsi="Times New Roman"/>
          <w:szCs w:val="28"/>
          <w:lang w:val="ru-RU"/>
        </w:rPr>
        <w:t>с</w:t>
      </w:r>
      <w:proofErr w:type="gramEnd"/>
      <w:r w:rsidR="00245288" w:rsidRPr="00245288">
        <w:rPr>
          <w:rFonts w:ascii="Times New Roman" w:hAnsi="Times New Roman"/>
          <w:szCs w:val="28"/>
          <w:lang w:val="ru-RU"/>
        </w:rPr>
        <w:t xml:space="preserve"> </w:t>
      </w:r>
      <w:r w:rsidR="00161DCE">
        <w:rPr>
          <w:rFonts w:ascii="Times New Roman" w:hAnsi="Times New Roman"/>
          <w:szCs w:val="28"/>
          <w:lang w:val="ru-RU"/>
        </w:rPr>
        <w:t>составляет 2,5%</w:t>
      </w:r>
      <w:r>
        <w:rPr>
          <w:rFonts w:ascii="Times New Roman" w:hAnsi="Times New Roman"/>
          <w:szCs w:val="28"/>
          <w:lang w:val="ru-RU"/>
        </w:rPr>
        <w:t xml:space="preserve"> (при запланированном значении – 2%)</w:t>
      </w:r>
      <w:r w:rsidR="00161DCE">
        <w:rPr>
          <w:rFonts w:ascii="Times New Roman" w:hAnsi="Times New Roman"/>
          <w:szCs w:val="28"/>
          <w:lang w:val="ru-RU"/>
        </w:rPr>
        <w:t>.</w:t>
      </w:r>
    </w:p>
    <w:p w:rsidR="00DD5D82" w:rsidRPr="00DD5D82" w:rsidRDefault="00DD5D8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D5D82">
        <w:rPr>
          <w:rFonts w:ascii="Times New Roman" w:hAnsi="Times New Roman"/>
          <w:szCs w:val="28"/>
          <w:lang w:val="ru-RU"/>
        </w:rPr>
        <w:t>Рынок ритуальных услуг затрагивает интересы всего населения города Липецка.</w:t>
      </w:r>
    </w:p>
    <w:p w:rsidR="00DD5D82" w:rsidRPr="00DD5D82" w:rsidRDefault="00DD5D8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D5D82">
        <w:rPr>
          <w:rFonts w:ascii="Times New Roman" w:hAnsi="Times New Roman"/>
          <w:szCs w:val="28"/>
          <w:lang w:val="ru-RU"/>
        </w:rPr>
        <w:t xml:space="preserve">В городе действует </w:t>
      </w:r>
      <w:r>
        <w:rPr>
          <w:rFonts w:ascii="Times New Roman" w:hAnsi="Times New Roman"/>
          <w:szCs w:val="28"/>
          <w:lang w:val="ru-RU"/>
        </w:rPr>
        <w:t>33</w:t>
      </w:r>
      <w:r w:rsidR="00D97C1B">
        <w:rPr>
          <w:rFonts w:ascii="Times New Roman" w:hAnsi="Times New Roman"/>
          <w:szCs w:val="28"/>
          <w:lang w:val="ru-RU"/>
        </w:rPr>
        <w:t xml:space="preserve"> организации</w:t>
      </w:r>
      <w:r w:rsidRPr="00DD5D82">
        <w:rPr>
          <w:rFonts w:ascii="Times New Roman" w:hAnsi="Times New Roman"/>
          <w:szCs w:val="28"/>
          <w:lang w:val="ru-RU"/>
        </w:rPr>
        <w:t xml:space="preserve">, основным видом деятельности которых является организация похорон и предоставление связанных с ними услуг, из них </w:t>
      </w:r>
      <w:r w:rsidR="00A9730A">
        <w:rPr>
          <w:rFonts w:ascii="Times New Roman" w:hAnsi="Times New Roman"/>
          <w:szCs w:val="28"/>
          <w:lang w:val="ru-RU"/>
        </w:rPr>
        <w:t xml:space="preserve">  </w:t>
      </w:r>
      <w:r w:rsidRPr="00DD5D82">
        <w:rPr>
          <w:rFonts w:ascii="Times New Roman" w:hAnsi="Times New Roman"/>
          <w:szCs w:val="28"/>
          <w:lang w:val="ru-RU"/>
        </w:rPr>
        <w:t xml:space="preserve">1 – муниципальной формы собственности, </w:t>
      </w:r>
      <w:r>
        <w:rPr>
          <w:rFonts w:ascii="Times New Roman" w:hAnsi="Times New Roman"/>
          <w:szCs w:val="28"/>
          <w:lang w:val="ru-RU"/>
        </w:rPr>
        <w:t>7</w:t>
      </w:r>
      <w:r w:rsidRPr="00DD5D82">
        <w:rPr>
          <w:rFonts w:ascii="Times New Roman" w:hAnsi="Times New Roman"/>
          <w:szCs w:val="28"/>
          <w:lang w:val="ru-RU"/>
        </w:rPr>
        <w:t xml:space="preserve"> –</w:t>
      </w:r>
      <w:r>
        <w:rPr>
          <w:rFonts w:ascii="Times New Roman" w:hAnsi="Times New Roman"/>
          <w:szCs w:val="28"/>
          <w:lang w:val="ru-RU"/>
        </w:rPr>
        <w:t xml:space="preserve"> частной формы собственности, 25</w:t>
      </w:r>
      <w:r w:rsidRPr="00DD5D82">
        <w:rPr>
          <w:rFonts w:ascii="Times New Roman" w:hAnsi="Times New Roman"/>
          <w:szCs w:val="28"/>
          <w:lang w:val="ru-RU"/>
        </w:rPr>
        <w:t xml:space="preserve"> </w:t>
      </w:r>
      <w:r w:rsidR="006916D3">
        <w:rPr>
          <w:rFonts w:ascii="Times New Roman" w:hAnsi="Times New Roman"/>
          <w:szCs w:val="28"/>
          <w:lang w:val="ru-RU"/>
        </w:rPr>
        <w:t>-</w:t>
      </w:r>
      <w:r w:rsidRPr="00DD5D82">
        <w:rPr>
          <w:rFonts w:ascii="Times New Roman" w:hAnsi="Times New Roman"/>
          <w:szCs w:val="28"/>
          <w:lang w:val="ru-RU"/>
        </w:rPr>
        <w:t xml:space="preserve"> индивидуальных предпринимателей.</w:t>
      </w:r>
    </w:p>
    <w:p w:rsidR="006A2673" w:rsidRDefault="006A2673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D5D82">
        <w:rPr>
          <w:rFonts w:ascii="Times New Roman" w:hAnsi="Times New Roman"/>
          <w:szCs w:val="28"/>
          <w:lang w:val="ru-RU"/>
        </w:rPr>
        <w:t>По состоянию на 01.01.20</w:t>
      </w:r>
      <w:r>
        <w:rPr>
          <w:rFonts w:ascii="Times New Roman" w:hAnsi="Times New Roman"/>
          <w:szCs w:val="28"/>
          <w:lang w:val="ru-RU"/>
        </w:rPr>
        <w:t>20</w:t>
      </w:r>
      <w:r w:rsidRPr="00DD5D82">
        <w:rPr>
          <w:rFonts w:ascii="Times New Roman" w:hAnsi="Times New Roman"/>
          <w:szCs w:val="28"/>
          <w:lang w:val="ru-RU"/>
        </w:rPr>
        <w:t xml:space="preserve"> </w:t>
      </w:r>
      <w:r w:rsidR="00DD5D82" w:rsidRPr="00DD5D82">
        <w:rPr>
          <w:rFonts w:ascii="Times New Roman" w:hAnsi="Times New Roman"/>
          <w:szCs w:val="28"/>
          <w:lang w:val="ru-RU"/>
        </w:rPr>
        <w:t>дол</w:t>
      </w:r>
      <w:r>
        <w:rPr>
          <w:rFonts w:ascii="Times New Roman" w:hAnsi="Times New Roman"/>
          <w:szCs w:val="28"/>
          <w:lang w:val="ru-RU"/>
        </w:rPr>
        <w:t>я</w:t>
      </w:r>
      <w:r w:rsidR="00DD5D82" w:rsidRPr="00DD5D82">
        <w:rPr>
          <w:rFonts w:ascii="Times New Roman" w:hAnsi="Times New Roman"/>
          <w:szCs w:val="28"/>
          <w:lang w:val="ru-RU"/>
        </w:rPr>
        <w:t xml:space="preserve"> организаций частной формы собственности в сфере ритуальных</w:t>
      </w:r>
      <w:r w:rsidR="00A9730A">
        <w:rPr>
          <w:rFonts w:ascii="Times New Roman" w:hAnsi="Times New Roman"/>
          <w:szCs w:val="28"/>
          <w:lang w:val="ru-RU"/>
        </w:rPr>
        <w:t xml:space="preserve"> услуг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DD5D82" w:rsidRPr="00DD5D82">
        <w:rPr>
          <w:rFonts w:ascii="Times New Roman" w:hAnsi="Times New Roman"/>
          <w:szCs w:val="28"/>
          <w:lang w:val="ru-RU"/>
        </w:rPr>
        <w:t xml:space="preserve">составляет </w:t>
      </w:r>
      <w:r w:rsidR="00DD5D82">
        <w:rPr>
          <w:rFonts w:ascii="Times New Roman" w:hAnsi="Times New Roman"/>
          <w:szCs w:val="28"/>
          <w:lang w:val="ru-RU"/>
        </w:rPr>
        <w:t>99</w:t>
      </w:r>
      <w:r>
        <w:rPr>
          <w:rFonts w:ascii="Times New Roman" w:hAnsi="Times New Roman"/>
          <w:szCs w:val="28"/>
          <w:lang w:val="ru-RU"/>
        </w:rPr>
        <w:t xml:space="preserve"> %, что соответствует плановому значению.</w:t>
      </w:r>
    </w:p>
    <w:p w:rsidR="00211271" w:rsidRPr="00211271" w:rsidRDefault="006A2673" w:rsidP="004659F8">
      <w:pPr>
        <w:tabs>
          <w:tab w:val="left" w:pos="4678"/>
        </w:tabs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="00211271" w:rsidRPr="00211271">
        <w:rPr>
          <w:lang w:val="ru-RU"/>
        </w:rPr>
        <w:t>роизводство тепловой энергии на территории города Липецка осуществляют 18 хозяйствующих субъектов, в том числе:</w:t>
      </w:r>
    </w:p>
    <w:p w:rsidR="00211271" w:rsidRPr="00211271" w:rsidRDefault="00211271" w:rsidP="004659F8">
      <w:pPr>
        <w:tabs>
          <w:tab w:val="left" w:pos="4678"/>
        </w:tabs>
        <w:ind w:firstLine="709"/>
        <w:jc w:val="both"/>
        <w:rPr>
          <w:lang w:val="ru-RU"/>
        </w:rPr>
      </w:pPr>
      <w:r w:rsidRPr="00211271">
        <w:rPr>
          <w:lang w:val="ru-RU"/>
        </w:rPr>
        <w:t>- 16 организаций негосударственной (немуниципальной) формы собственности (89 %);</w:t>
      </w:r>
    </w:p>
    <w:p w:rsidR="00211271" w:rsidRPr="00211271" w:rsidRDefault="00211271" w:rsidP="004659F8">
      <w:pPr>
        <w:tabs>
          <w:tab w:val="left" w:pos="4678"/>
        </w:tabs>
        <w:ind w:firstLine="709"/>
        <w:jc w:val="both"/>
        <w:rPr>
          <w:lang w:val="ru-RU"/>
        </w:rPr>
      </w:pPr>
      <w:r w:rsidRPr="00211271">
        <w:rPr>
          <w:lang w:val="ru-RU"/>
        </w:rPr>
        <w:t xml:space="preserve">- 1 коммерческая организация, доля участия субъекта РФ и </w:t>
      </w:r>
      <w:proofErr w:type="gramStart"/>
      <w:r w:rsidRPr="00211271">
        <w:rPr>
          <w:lang w:val="ru-RU"/>
        </w:rPr>
        <w:t>МО</w:t>
      </w:r>
      <w:proofErr w:type="gramEnd"/>
      <w:r w:rsidRPr="00211271">
        <w:rPr>
          <w:lang w:val="ru-RU"/>
        </w:rPr>
        <w:t xml:space="preserve"> в уставном капитале которых более 25%;</w:t>
      </w:r>
    </w:p>
    <w:p w:rsidR="00211271" w:rsidRDefault="00211271" w:rsidP="004659F8">
      <w:pPr>
        <w:tabs>
          <w:tab w:val="left" w:pos="4678"/>
        </w:tabs>
        <w:ind w:firstLine="709"/>
        <w:jc w:val="both"/>
        <w:rPr>
          <w:lang w:val="ru-RU"/>
        </w:rPr>
      </w:pPr>
      <w:r w:rsidRPr="00211271">
        <w:rPr>
          <w:lang w:val="ru-RU"/>
        </w:rPr>
        <w:t>- 1 федеральное учреждение.</w:t>
      </w:r>
    </w:p>
    <w:p w:rsidR="00211271" w:rsidRDefault="006A2673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lang w:val="ru-RU"/>
        </w:rPr>
        <w:t>По состоянию на 01.01.2020 доля</w:t>
      </w:r>
      <w:r w:rsidR="00211271" w:rsidRPr="00211271">
        <w:rPr>
          <w:lang w:val="ru-RU"/>
        </w:rPr>
        <w:t xml:space="preserve"> организаций частной формы собственности в сфере теплоснабжения (производство тепловой энергии)</w:t>
      </w:r>
      <w:r w:rsidR="00BE3B2A">
        <w:rPr>
          <w:lang w:val="ru-RU"/>
        </w:rPr>
        <w:t xml:space="preserve"> </w:t>
      </w:r>
      <w:r w:rsidR="00B32029">
        <w:rPr>
          <w:lang w:val="ru-RU"/>
        </w:rPr>
        <w:t>составляет 94,4% (</w:t>
      </w:r>
      <w:r>
        <w:rPr>
          <w:lang w:val="ru-RU"/>
        </w:rPr>
        <w:t xml:space="preserve">при запланированном значении - </w:t>
      </w:r>
      <w:r w:rsidR="00BE3B2A">
        <w:rPr>
          <w:lang w:val="ru-RU"/>
        </w:rPr>
        <w:t>89,5%</w:t>
      </w:r>
      <w:r>
        <w:rPr>
          <w:lang w:val="ru-RU"/>
        </w:rPr>
        <w:t>).</w:t>
      </w:r>
    </w:p>
    <w:p w:rsidR="00211271" w:rsidRDefault="006A2673" w:rsidP="004659F8">
      <w:pPr>
        <w:tabs>
          <w:tab w:val="left" w:pos="4678"/>
        </w:tabs>
        <w:ind w:firstLine="709"/>
        <w:jc w:val="both"/>
        <w:rPr>
          <w:lang w:val="ru-RU"/>
        </w:rPr>
      </w:pPr>
      <w:r w:rsidRPr="00211271">
        <w:rPr>
          <w:lang w:val="ru-RU"/>
        </w:rPr>
        <w:t>По</w:t>
      </w:r>
      <w:r w:rsidR="00B32029">
        <w:rPr>
          <w:lang w:val="ru-RU"/>
        </w:rPr>
        <w:t xml:space="preserve">лезный отпуск тепловой энергии </w:t>
      </w:r>
      <w:r w:rsidRPr="00211271">
        <w:rPr>
          <w:lang w:val="ru-RU"/>
        </w:rPr>
        <w:t xml:space="preserve">по городу Липецку </w:t>
      </w:r>
      <w:r w:rsidR="006916D3" w:rsidRPr="00211271">
        <w:rPr>
          <w:lang w:val="ru-RU"/>
        </w:rPr>
        <w:t xml:space="preserve">за 2019 год </w:t>
      </w:r>
      <w:r w:rsidR="006916D3">
        <w:rPr>
          <w:lang w:val="ru-RU"/>
        </w:rPr>
        <w:t xml:space="preserve">- </w:t>
      </w:r>
      <w:r w:rsidRPr="00211271">
        <w:rPr>
          <w:lang w:val="ru-RU"/>
        </w:rPr>
        <w:t>3011834 Гкал</w:t>
      </w:r>
      <w:r>
        <w:rPr>
          <w:lang w:val="ru-RU"/>
        </w:rPr>
        <w:t xml:space="preserve">, в том числе </w:t>
      </w:r>
      <w:r w:rsidR="00211271" w:rsidRPr="00211271">
        <w:rPr>
          <w:lang w:val="ru-RU"/>
        </w:rPr>
        <w:t>государственным учреждением Липецкая таможня</w:t>
      </w:r>
      <w:r w:rsidR="006916D3">
        <w:rPr>
          <w:lang w:val="ru-RU"/>
        </w:rPr>
        <w:t xml:space="preserve"> </w:t>
      </w:r>
      <w:r w:rsidR="00B32029">
        <w:rPr>
          <w:lang w:val="ru-RU"/>
        </w:rPr>
        <w:t>– 325 Гкал, что составляет 0,01% от общего объема ресурсов (при запланированном значении – 20%).</w:t>
      </w:r>
    </w:p>
    <w:p w:rsidR="00BE3B2A" w:rsidRPr="00BE3B2A" w:rsidRDefault="00BE3B2A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BE3B2A">
        <w:rPr>
          <w:rFonts w:ascii="Times New Roman" w:hAnsi="Times New Roman"/>
          <w:szCs w:val="28"/>
          <w:lang w:val="ru-RU"/>
        </w:rPr>
        <w:t xml:space="preserve">Рынок услуг перевозок пассажиров наземным транспортом характеризуется высоким уровнем развития конкуренции. </w:t>
      </w:r>
    </w:p>
    <w:p w:rsidR="00BE3B2A" w:rsidRPr="00BE3B2A" w:rsidRDefault="00BE3B2A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BE3B2A">
        <w:rPr>
          <w:rFonts w:ascii="Times New Roman" w:hAnsi="Times New Roman"/>
          <w:szCs w:val="28"/>
          <w:lang w:val="ru-RU"/>
        </w:rPr>
        <w:t>По состоянию на 01.01.20</w:t>
      </w:r>
      <w:r w:rsidR="0069755C">
        <w:rPr>
          <w:rFonts w:ascii="Times New Roman" w:hAnsi="Times New Roman"/>
          <w:szCs w:val="28"/>
          <w:lang w:val="ru-RU"/>
        </w:rPr>
        <w:t>20</w:t>
      </w:r>
      <w:r w:rsidRPr="00BE3B2A">
        <w:rPr>
          <w:rFonts w:ascii="Times New Roman" w:hAnsi="Times New Roman"/>
          <w:szCs w:val="28"/>
          <w:lang w:val="ru-RU"/>
        </w:rPr>
        <w:t xml:space="preserve"> перевозку пассажиров в город</w:t>
      </w:r>
      <w:r w:rsidR="006A2673">
        <w:rPr>
          <w:rFonts w:ascii="Times New Roman" w:hAnsi="Times New Roman"/>
          <w:szCs w:val="28"/>
          <w:lang w:val="ru-RU"/>
        </w:rPr>
        <w:t>е</w:t>
      </w:r>
      <w:r w:rsidRPr="00BE3B2A">
        <w:rPr>
          <w:rFonts w:ascii="Times New Roman" w:hAnsi="Times New Roman"/>
          <w:szCs w:val="28"/>
          <w:lang w:val="ru-RU"/>
        </w:rPr>
        <w:t xml:space="preserve"> Липецк</w:t>
      </w:r>
      <w:r w:rsidR="006A2673">
        <w:rPr>
          <w:rFonts w:ascii="Times New Roman" w:hAnsi="Times New Roman"/>
          <w:szCs w:val="28"/>
          <w:lang w:val="ru-RU"/>
        </w:rPr>
        <w:t>е</w:t>
      </w:r>
      <w:r w:rsidRPr="00BE3B2A">
        <w:rPr>
          <w:rFonts w:ascii="Times New Roman" w:hAnsi="Times New Roman"/>
          <w:szCs w:val="28"/>
          <w:lang w:val="ru-RU"/>
        </w:rPr>
        <w:t xml:space="preserve"> автомобильным и городским наземным электрическим транспортом общего пользования по муниципальным маршрутам регулярных перевозок обеспечивали 23 хозяйствующих субъекта, в том числе: </w:t>
      </w:r>
    </w:p>
    <w:p w:rsidR="00BE3B2A" w:rsidRPr="00BE3B2A" w:rsidRDefault="00BE3B2A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BE3B2A">
        <w:rPr>
          <w:rFonts w:ascii="Times New Roman" w:hAnsi="Times New Roman"/>
          <w:szCs w:val="28"/>
          <w:lang w:val="ru-RU"/>
        </w:rPr>
        <w:t>- 2 муниципальных унитарных предприятия (МУП «</w:t>
      </w:r>
      <w:proofErr w:type="spellStart"/>
      <w:r w:rsidRPr="00BE3B2A">
        <w:rPr>
          <w:rFonts w:ascii="Times New Roman" w:hAnsi="Times New Roman"/>
          <w:szCs w:val="28"/>
          <w:lang w:val="ru-RU"/>
        </w:rPr>
        <w:t>Липецкпассажиртранс</w:t>
      </w:r>
      <w:proofErr w:type="spellEnd"/>
      <w:r w:rsidRPr="00BE3B2A">
        <w:rPr>
          <w:rFonts w:ascii="Times New Roman" w:hAnsi="Times New Roman"/>
          <w:szCs w:val="28"/>
          <w:lang w:val="ru-RU"/>
        </w:rPr>
        <w:t>», МУП «</w:t>
      </w:r>
      <w:proofErr w:type="spellStart"/>
      <w:r w:rsidRPr="00BE3B2A">
        <w:rPr>
          <w:rFonts w:ascii="Times New Roman" w:hAnsi="Times New Roman"/>
          <w:szCs w:val="28"/>
          <w:lang w:val="ru-RU"/>
        </w:rPr>
        <w:t>Горэлектротранс</w:t>
      </w:r>
      <w:proofErr w:type="spellEnd"/>
      <w:r w:rsidRPr="00BE3B2A">
        <w:rPr>
          <w:rFonts w:ascii="Times New Roman" w:hAnsi="Times New Roman"/>
          <w:szCs w:val="28"/>
          <w:lang w:val="ru-RU"/>
        </w:rPr>
        <w:t>»);</w:t>
      </w:r>
    </w:p>
    <w:p w:rsidR="00BE3B2A" w:rsidRPr="00BE3B2A" w:rsidRDefault="00BE3B2A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BE3B2A">
        <w:rPr>
          <w:rFonts w:ascii="Times New Roman" w:hAnsi="Times New Roman"/>
          <w:szCs w:val="28"/>
          <w:lang w:val="ru-RU"/>
        </w:rPr>
        <w:t xml:space="preserve">- 21 частной формы собственности. </w:t>
      </w:r>
    </w:p>
    <w:p w:rsidR="00BE3B2A" w:rsidRPr="00BE3B2A" w:rsidRDefault="00BE3B2A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BE3B2A">
        <w:rPr>
          <w:rFonts w:ascii="Times New Roman" w:hAnsi="Times New Roman"/>
          <w:szCs w:val="28"/>
          <w:lang w:val="ru-RU"/>
        </w:rPr>
        <w:t xml:space="preserve">Транспортное обслуживание населения муниципального образования автомобильным транспортом и городским наземным электрическим транспортом общего пользования организовано по 77 муниципальным маршрутам. </w:t>
      </w:r>
    </w:p>
    <w:p w:rsidR="001D26CF" w:rsidRDefault="006A2673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BE3B2A">
        <w:rPr>
          <w:rFonts w:ascii="Times New Roman" w:hAnsi="Times New Roman"/>
          <w:szCs w:val="28"/>
          <w:lang w:val="ru-RU"/>
        </w:rPr>
        <w:lastRenderedPageBreak/>
        <w:t>По состоянию на 01.01.20</w:t>
      </w:r>
      <w:r w:rsidR="006916D3">
        <w:rPr>
          <w:rFonts w:ascii="Times New Roman" w:hAnsi="Times New Roman"/>
          <w:szCs w:val="28"/>
          <w:lang w:val="ru-RU"/>
        </w:rPr>
        <w:t>20</w:t>
      </w:r>
      <w:r w:rsidRPr="00BE3B2A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д</w:t>
      </w:r>
      <w:r w:rsidR="00BE3B2A" w:rsidRPr="00BE3B2A">
        <w:rPr>
          <w:rFonts w:ascii="Times New Roman" w:hAnsi="Times New Roman"/>
          <w:szCs w:val="28"/>
          <w:lang w:val="ru-RU"/>
        </w:rPr>
        <w:t>ол</w:t>
      </w:r>
      <w:r>
        <w:rPr>
          <w:rFonts w:ascii="Times New Roman" w:hAnsi="Times New Roman"/>
          <w:szCs w:val="28"/>
          <w:lang w:val="ru-RU"/>
        </w:rPr>
        <w:t>я</w:t>
      </w:r>
      <w:r w:rsidR="00BE3B2A" w:rsidRPr="00BE3B2A">
        <w:rPr>
          <w:rFonts w:ascii="Times New Roman" w:hAnsi="Times New Roman"/>
          <w:szCs w:val="28"/>
          <w:lang w:val="ru-RU"/>
        </w:rPr>
        <w:t xml:space="preserve">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</w:t>
      </w:r>
      <w:r w:rsidR="007E6632">
        <w:rPr>
          <w:rFonts w:ascii="Times New Roman" w:hAnsi="Times New Roman"/>
          <w:szCs w:val="28"/>
          <w:lang w:val="ru-RU"/>
        </w:rPr>
        <w:t xml:space="preserve">составляет 91,3 % (при запланированном значении – 91%). </w:t>
      </w:r>
    </w:p>
    <w:p w:rsidR="00F12B75" w:rsidRPr="00F12B75" w:rsidRDefault="00F12B75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F12B75">
        <w:rPr>
          <w:rFonts w:ascii="Times New Roman" w:hAnsi="Times New Roman"/>
          <w:szCs w:val="28"/>
          <w:lang w:val="ru-RU"/>
        </w:rPr>
        <w:t xml:space="preserve">На территории города Липецка предоставляется полный спектр телекоммуникационных услуг. Улучшается качество предоставления услуги широкополосного доступа к сети Интернет, внедряются новые перспективные технологии. </w:t>
      </w:r>
      <w:r w:rsidR="00A9730A">
        <w:rPr>
          <w:rFonts w:ascii="Times New Roman" w:hAnsi="Times New Roman"/>
          <w:szCs w:val="28"/>
          <w:lang w:val="ru-RU"/>
        </w:rPr>
        <w:t>В 2019 году</w:t>
      </w:r>
      <w:r w:rsidRPr="00F12B75">
        <w:rPr>
          <w:rFonts w:ascii="Times New Roman" w:hAnsi="Times New Roman"/>
          <w:szCs w:val="28"/>
          <w:lang w:val="ru-RU"/>
        </w:rPr>
        <w:t xml:space="preserve"> на территории города Липецка услуги связи по предоставлению широкополосного доступа к сети Интернет оказывались 14 операторами. Все организации частной формы собственности. </w:t>
      </w:r>
    </w:p>
    <w:p w:rsidR="00F12B75" w:rsidRDefault="00F12B75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F12B75">
        <w:rPr>
          <w:rFonts w:ascii="Times New Roman" w:hAnsi="Times New Roman"/>
          <w:szCs w:val="28"/>
          <w:lang w:val="ru-RU"/>
        </w:rPr>
        <w:t xml:space="preserve">Волоконно-оптические линии связи доведены до всех зданий администрации города Липецка, что способствует организации возможности предоставления государственных и муниципальных услуг в электронном виде. Администрация имеет доступ к высокоскоростному Интернету и </w:t>
      </w:r>
      <w:proofErr w:type="spellStart"/>
      <w:r w:rsidRPr="00F12B75">
        <w:rPr>
          <w:rFonts w:ascii="Times New Roman" w:hAnsi="Times New Roman"/>
          <w:szCs w:val="28"/>
          <w:lang w:val="ru-RU"/>
        </w:rPr>
        <w:t>мультисервисной</w:t>
      </w:r>
      <w:proofErr w:type="spellEnd"/>
      <w:r w:rsidRPr="00F12B75">
        <w:rPr>
          <w:rFonts w:ascii="Times New Roman" w:hAnsi="Times New Roman"/>
          <w:szCs w:val="28"/>
          <w:lang w:val="ru-RU"/>
        </w:rPr>
        <w:t xml:space="preserve"> сети с защитой каналов. </w:t>
      </w:r>
    </w:p>
    <w:p w:rsidR="00F12B75" w:rsidRPr="00F12B75" w:rsidRDefault="007E6632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F12B75">
        <w:rPr>
          <w:rFonts w:ascii="Times New Roman" w:hAnsi="Times New Roman"/>
          <w:szCs w:val="28"/>
          <w:lang w:val="ru-RU"/>
        </w:rPr>
        <w:t>По состоянию на 01.01.20</w:t>
      </w:r>
      <w:r>
        <w:rPr>
          <w:rFonts w:ascii="Times New Roman" w:hAnsi="Times New Roman"/>
          <w:szCs w:val="28"/>
          <w:lang w:val="ru-RU"/>
        </w:rPr>
        <w:t>20</w:t>
      </w:r>
      <w:r w:rsidRPr="00F12B7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доля</w:t>
      </w:r>
      <w:r w:rsidR="00F12B75" w:rsidRPr="00F12B75">
        <w:rPr>
          <w:rFonts w:ascii="Times New Roman" w:hAnsi="Times New Roman"/>
          <w:szCs w:val="28"/>
          <w:lang w:val="ru-RU"/>
        </w:rPr>
        <w:t xml:space="preserve">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</w:r>
      <w:r w:rsidRPr="007E6632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составляет 100% (при запланированном значении – 98%).</w:t>
      </w:r>
    </w:p>
    <w:p w:rsidR="00F12B75" w:rsidRDefault="00F12B75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F12B75">
        <w:rPr>
          <w:rFonts w:ascii="Times New Roman" w:hAnsi="Times New Roman"/>
          <w:szCs w:val="28"/>
          <w:lang w:val="ru-RU"/>
        </w:rPr>
        <w:t>В соответствии с пунктом 7 части 1 статьи 17.1 Федерального закона от 26.07.2006 № 135-ФЗ «О защите конкуренции» заключение договоров для размещения сетей связи может быть осуществлено без проведения торгов или аукционов.</w:t>
      </w:r>
    </w:p>
    <w:p w:rsidR="00F12B75" w:rsidRPr="00F12B75" w:rsidRDefault="00F12B75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 состоянию на 01.01.2020 заключено 10 договоров аренды с операторами связи, что соответствует плановому значению показателя, характеризующему количество объектов муниципальной собственности, фактически используемых операторами связи.</w:t>
      </w:r>
    </w:p>
    <w:p w:rsidR="00F12B75" w:rsidRDefault="00F12B75" w:rsidP="004659F8">
      <w:pPr>
        <w:tabs>
          <w:tab w:val="left" w:pos="467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Показатели обеспеченности населения торговыми площадями и  посадочными местами на 1000 жителей рассчитываются по итогам года на основании </w:t>
      </w:r>
      <w:r w:rsidRPr="004171B7">
        <w:rPr>
          <w:lang w:val="ru-RU"/>
        </w:rPr>
        <w:t xml:space="preserve"> мониторинга </w:t>
      </w:r>
      <w:r>
        <w:rPr>
          <w:lang w:val="ru-RU"/>
        </w:rPr>
        <w:t xml:space="preserve">количества открывшихся и закрывшихся предприятий потребительского рынка. По состоянию на 01.01.2020 </w:t>
      </w:r>
      <w:r w:rsidRPr="000252C6">
        <w:rPr>
          <w:rFonts w:ascii="Times New Roman" w:hAnsi="Times New Roman"/>
          <w:lang w:val="ru-RU"/>
        </w:rPr>
        <w:t xml:space="preserve">фактический показатель обеспеченности населения </w:t>
      </w:r>
      <w:r>
        <w:rPr>
          <w:rFonts w:ascii="Times New Roman" w:hAnsi="Times New Roman"/>
          <w:lang w:val="ru-RU"/>
        </w:rPr>
        <w:t>площадью стационарных торговых объектов</w:t>
      </w:r>
      <w:r w:rsidRPr="000252C6">
        <w:rPr>
          <w:rFonts w:ascii="Times New Roman" w:hAnsi="Times New Roman"/>
          <w:lang w:val="ru-RU"/>
        </w:rPr>
        <w:t xml:space="preserve"> сост</w:t>
      </w:r>
      <w:r>
        <w:rPr>
          <w:rFonts w:ascii="Times New Roman" w:hAnsi="Times New Roman"/>
          <w:lang w:val="ru-RU"/>
        </w:rPr>
        <w:t xml:space="preserve">авил </w:t>
      </w:r>
      <w:r w:rsidRPr="00D37045">
        <w:rPr>
          <w:rFonts w:ascii="Times New Roman" w:hAnsi="Times New Roman"/>
          <w:lang w:val="ru-RU"/>
        </w:rPr>
        <w:t xml:space="preserve">965,2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 w:rsidR="00A9730A">
        <w:rPr>
          <w:rFonts w:ascii="Times New Roman" w:hAnsi="Times New Roman"/>
          <w:lang w:val="ru-RU"/>
        </w:rPr>
        <w:t>.</w:t>
      </w:r>
      <w:r w:rsidRPr="000252C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(при </w:t>
      </w:r>
      <w:r w:rsidR="00A9730A">
        <w:rPr>
          <w:rFonts w:ascii="Times New Roman" w:hAnsi="Times New Roman"/>
          <w:lang w:val="ru-RU"/>
        </w:rPr>
        <w:t xml:space="preserve">запланированном значении – 869,5 </w:t>
      </w:r>
      <w:proofErr w:type="spellStart"/>
      <w:r w:rsidR="00A9730A">
        <w:rPr>
          <w:rFonts w:ascii="Times New Roman" w:hAnsi="Times New Roman"/>
          <w:lang w:val="ru-RU"/>
        </w:rPr>
        <w:t>кв.м</w:t>
      </w:r>
      <w:proofErr w:type="spellEnd"/>
      <w:r w:rsidR="00A9730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), фактический показатель обеспеченности населения посадочными местами составил </w:t>
      </w:r>
      <w:r w:rsidRPr="00D37045">
        <w:rPr>
          <w:rFonts w:ascii="Times New Roman" w:hAnsi="Times New Roman"/>
          <w:lang w:val="ru-RU"/>
        </w:rPr>
        <w:t xml:space="preserve">45,3 </w:t>
      </w:r>
      <w:r>
        <w:rPr>
          <w:rFonts w:ascii="Times New Roman" w:hAnsi="Times New Roman"/>
          <w:lang w:val="ru-RU"/>
        </w:rPr>
        <w:t xml:space="preserve">посадочных мест на 1 000 жителей (при </w:t>
      </w:r>
      <w:r w:rsidR="00A9730A">
        <w:rPr>
          <w:rFonts w:ascii="Times New Roman" w:hAnsi="Times New Roman"/>
          <w:lang w:val="ru-RU"/>
        </w:rPr>
        <w:t>запланированном значении – 42,2</w:t>
      </w:r>
      <w:r>
        <w:rPr>
          <w:rFonts w:ascii="Times New Roman" w:hAnsi="Times New Roman"/>
          <w:lang w:val="ru-RU"/>
        </w:rPr>
        <w:t>).</w:t>
      </w:r>
    </w:p>
    <w:p w:rsidR="00BA4CDF" w:rsidRDefault="00F12B75" w:rsidP="004659F8">
      <w:pPr>
        <w:tabs>
          <w:tab w:val="left" w:pos="467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В рамках соглашения о внедрении на территории Липецкой области Стандарта развития конкуренции управлением потребительского рынка оказывается содействие в проведении анкетирования предпринимателей и потребителей. В сентябре 2019 года специалистами </w:t>
      </w:r>
      <w:r>
        <w:rPr>
          <w:szCs w:val="28"/>
          <w:lang w:val="ru-RU"/>
        </w:rPr>
        <w:t>управления доведена информация до руководителей предприятий потребительского рынка о прохождении опросов предпринимателями и потребителями на сайте администрации Липецкой области для выявления их удовлетворенности качеством товаров, работ и услуг, а также состоянием конкурентной среды и уровнем административных барьеров.</w:t>
      </w:r>
    </w:p>
    <w:p w:rsidR="00BA4CDF" w:rsidRDefault="00F12B75" w:rsidP="004659F8">
      <w:pPr>
        <w:tabs>
          <w:tab w:val="left" w:pos="4678"/>
        </w:tabs>
        <w:ind w:firstLine="709"/>
        <w:jc w:val="both"/>
        <w:rPr>
          <w:lang w:val="ru-RU"/>
        </w:rPr>
      </w:pPr>
      <w:r>
        <w:rPr>
          <w:szCs w:val="28"/>
          <w:lang w:val="ru-RU"/>
        </w:rPr>
        <w:lastRenderedPageBreak/>
        <w:t>В</w:t>
      </w:r>
      <w:r>
        <w:rPr>
          <w:rFonts w:ascii="Times New Roman" w:hAnsi="Times New Roman"/>
          <w:lang w:val="ru-RU"/>
        </w:rPr>
        <w:t xml:space="preserve"> 2019 году на территории города проведено 313</w:t>
      </w:r>
      <w:r w:rsidRPr="00DD42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муниципальных ярмарок</w:t>
      </w:r>
      <w:r w:rsidR="00BA4CDF">
        <w:rPr>
          <w:rFonts w:ascii="Times New Roman" w:hAnsi="Times New Roman"/>
          <w:lang w:val="ru-RU"/>
        </w:rPr>
        <w:t xml:space="preserve"> (при запланированном значении – 280).</w:t>
      </w:r>
    </w:p>
    <w:p w:rsidR="00F12B75" w:rsidRPr="00BA4CDF" w:rsidRDefault="00F12B75" w:rsidP="004659F8">
      <w:pPr>
        <w:tabs>
          <w:tab w:val="left" w:pos="4678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Вместе с тем совместно с управлением потребительского рынка и ценовой политики Липецкой области в 2019 году организовано 3 областные розничные ярмарки. Кроме того, </w:t>
      </w:r>
      <w:r>
        <w:rPr>
          <w:rFonts w:ascii="Times New Roman" w:hAnsi="Times New Roman"/>
          <w:szCs w:val="28"/>
          <w:lang w:val="ru-RU"/>
        </w:rPr>
        <w:t>в целях обеспечения граждан, проживающих в</w:t>
      </w:r>
      <w:r w:rsidRPr="00540726">
        <w:rPr>
          <w:rFonts w:ascii="Times New Roman" w:hAnsi="Times New Roman"/>
          <w:szCs w:val="28"/>
          <w:lang w:val="ru-RU"/>
        </w:rPr>
        <w:t xml:space="preserve"> удаленных район</w:t>
      </w:r>
      <w:r>
        <w:rPr>
          <w:rFonts w:ascii="Times New Roman" w:hAnsi="Times New Roman"/>
          <w:szCs w:val="28"/>
          <w:lang w:val="ru-RU"/>
        </w:rPr>
        <w:t>ах</w:t>
      </w:r>
      <w:r w:rsidRPr="00540726">
        <w:rPr>
          <w:rFonts w:ascii="Times New Roman" w:hAnsi="Times New Roman"/>
          <w:szCs w:val="28"/>
          <w:lang w:val="ru-RU"/>
        </w:rPr>
        <w:t xml:space="preserve"> города</w:t>
      </w:r>
      <w:r>
        <w:rPr>
          <w:rFonts w:ascii="Times New Roman" w:hAnsi="Times New Roman"/>
          <w:szCs w:val="28"/>
          <w:lang w:val="ru-RU"/>
        </w:rPr>
        <w:t xml:space="preserve"> и в местах со слабо развитой торговой сетью</w:t>
      </w:r>
      <w:r w:rsidRPr="00540726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(</w:t>
      </w:r>
      <w:proofErr w:type="spellStart"/>
      <w:r>
        <w:rPr>
          <w:rFonts w:ascii="Times New Roman" w:hAnsi="Times New Roman"/>
          <w:szCs w:val="28"/>
          <w:lang w:val="ru-RU"/>
        </w:rPr>
        <w:t>п</w:t>
      </w:r>
      <w:proofErr w:type="gramStart"/>
      <w:r>
        <w:rPr>
          <w:rFonts w:ascii="Times New Roman" w:hAnsi="Times New Roman"/>
          <w:szCs w:val="28"/>
          <w:lang w:val="ru-RU"/>
        </w:rPr>
        <w:t>.М</w:t>
      </w:r>
      <w:proofErr w:type="gramEnd"/>
      <w:r>
        <w:rPr>
          <w:rFonts w:ascii="Times New Roman" w:hAnsi="Times New Roman"/>
          <w:szCs w:val="28"/>
          <w:lang w:val="ru-RU"/>
        </w:rPr>
        <w:t>атырский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, ЛТЗ, Сырский Рудник, 10-я Шахта, </w:t>
      </w:r>
      <w:proofErr w:type="spellStart"/>
      <w:r>
        <w:rPr>
          <w:rFonts w:ascii="Times New Roman" w:hAnsi="Times New Roman"/>
          <w:szCs w:val="28"/>
          <w:lang w:val="ru-RU"/>
        </w:rPr>
        <w:t>ул.Буденного</w:t>
      </w:r>
      <w:proofErr w:type="spellEnd"/>
      <w:r>
        <w:rPr>
          <w:rFonts w:ascii="Times New Roman" w:hAnsi="Times New Roman"/>
          <w:szCs w:val="28"/>
          <w:lang w:val="ru-RU"/>
        </w:rPr>
        <w:t>), продуктами питания и непродовольственными товарами в шаговой доступности и по доступным ценам совместно с областным управлением потребительского рынка и ценовой политики в 2019 году проведено 65 дополнительных областных ярмарок.</w:t>
      </w:r>
    </w:p>
    <w:p w:rsidR="00A72514" w:rsidRDefault="00F12B75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В настоящее время </w:t>
      </w:r>
      <w:r w:rsidRPr="00B073B9">
        <w:rPr>
          <w:rFonts w:ascii="Times New Roman" w:hAnsi="Times New Roman"/>
          <w:lang w:val="ru-RU"/>
        </w:rPr>
        <w:t xml:space="preserve">на территории города осуществляют деятельность </w:t>
      </w:r>
      <w:r>
        <w:rPr>
          <w:rFonts w:ascii="Times New Roman" w:hAnsi="Times New Roman"/>
          <w:lang w:val="ru-RU"/>
        </w:rPr>
        <w:t>5 розничных рынков. По вопросу организации розничных рынков управлением потребительского рынка оказывается консультационная помощь юридическим лицам, а также предоставляется муниципальная услуга «Выдача разрешения на право организации розничного рынка»</w:t>
      </w:r>
      <w:r w:rsidR="007E6632">
        <w:rPr>
          <w:rFonts w:ascii="Times New Roman" w:hAnsi="Times New Roman"/>
          <w:lang w:val="ru-RU"/>
        </w:rPr>
        <w:t>.</w:t>
      </w:r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 xml:space="preserve">В целях снижения административного давления на бизнес и упрощения предпринимательской деятельности «дорожной картой» предусмотрен ряд системных мероприятий по содействию развитию </w:t>
      </w:r>
      <w:proofErr w:type="spellStart"/>
      <w:r w:rsidRPr="001D26CF">
        <w:rPr>
          <w:rFonts w:ascii="Times New Roman" w:hAnsi="Times New Roman"/>
          <w:szCs w:val="28"/>
          <w:lang w:val="ru-RU"/>
        </w:rPr>
        <w:t>конкурентой</w:t>
      </w:r>
      <w:proofErr w:type="spellEnd"/>
      <w:r w:rsidRPr="001D26CF">
        <w:rPr>
          <w:rFonts w:ascii="Times New Roman" w:hAnsi="Times New Roman"/>
          <w:szCs w:val="28"/>
          <w:lang w:val="ru-RU"/>
        </w:rPr>
        <w:t xml:space="preserve"> среды на территории города Липецка.</w:t>
      </w:r>
    </w:p>
    <w:p w:rsidR="001D26CF" w:rsidRPr="001D26CF" w:rsidRDefault="00AA4EE7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Так</w:t>
      </w:r>
      <w:r w:rsidR="001D26CF" w:rsidRPr="001D26CF">
        <w:rPr>
          <w:rFonts w:ascii="Times New Roman" w:hAnsi="Times New Roman"/>
          <w:szCs w:val="28"/>
          <w:lang w:val="ru-RU"/>
        </w:rPr>
        <w:t xml:space="preserve"> в сфере муниципальных закупок «дорожная карта» предусматривает увеличение доли закупок у субъектов малого и среднего предпринимательства в общем ежегодном объеме закупок до </w:t>
      </w:r>
      <w:r w:rsidR="00BA4CDF">
        <w:rPr>
          <w:rFonts w:ascii="Times New Roman" w:hAnsi="Times New Roman"/>
          <w:szCs w:val="28"/>
          <w:lang w:val="ru-RU"/>
        </w:rPr>
        <w:t>25</w:t>
      </w:r>
      <w:r w:rsidR="001D26CF" w:rsidRPr="001D26CF">
        <w:rPr>
          <w:rFonts w:ascii="Times New Roman" w:hAnsi="Times New Roman"/>
          <w:szCs w:val="28"/>
          <w:lang w:val="ru-RU"/>
        </w:rPr>
        <w:t xml:space="preserve">%. </w:t>
      </w:r>
      <w:r w:rsidR="00C32B21">
        <w:rPr>
          <w:rFonts w:ascii="Times New Roman" w:hAnsi="Times New Roman"/>
          <w:szCs w:val="28"/>
          <w:lang w:val="ru-RU"/>
        </w:rPr>
        <w:t xml:space="preserve">В </w:t>
      </w:r>
      <w:r w:rsidR="00BB5935">
        <w:rPr>
          <w:rFonts w:ascii="Times New Roman" w:hAnsi="Times New Roman"/>
          <w:szCs w:val="28"/>
          <w:lang w:val="ru-RU"/>
        </w:rPr>
        <w:t>2019 год</w:t>
      </w:r>
      <w:r w:rsidR="00BA4CDF">
        <w:rPr>
          <w:rFonts w:ascii="Times New Roman" w:hAnsi="Times New Roman"/>
          <w:szCs w:val="28"/>
          <w:lang w:val="ru-RU"/>
        </w:rPr>
        <w:t>у</w:t>
      </w:r>
      <w:r w:rsidR="001D26CF" w:rsidRPr="001D26CF">
        <w:rPr>
          <w:rFonts w:ascii="Times New Roman" w:hAnsi="Times New Roman"/>
          <w:szCs w:val="28"/>
          <w:lang w:val="ru-RU"/>
        </w:rPr>
        <w:t xml:space="preserve"> значение показателя, характеризующего объем заключенных контрактов с субъектами малого и среднего предпринимательства в совокупном объеме закупок для</w:t>
      </w:r>
      <w:r w:rsidR="00DE1F37">
        <w:rPr>
          <w:rFonts w:ascii="Times New Roman" w:hAnsi="Times New Roman"/>
          <w:szCs w:val="28"/>
          <w:lang w:val="ru-RU"/>
        </w:rPr>
        <w:t xml:space="preserve"> муниципальных нужд</w:t>
      </w:r>
      <w:r w:rsidR="00277F3C">
        <w:rPr>
          <w:rFonts w:ascii="Times New Roman" w:hAnsi="Times New Roman"/>
          <w:szCs w:val="28"/>
          <w:lang w:val="ru-RU"/>
        </w:rPr>
        <w:t>,</w:t>
      </w:r>
      <w:r w:rsidR="00DE1F37">
        <w:rPr>
          <w:rFonts w:ascii="Times New Roman" w:hAnsi="Times New Roman"/>
          <w:szCs w:val="28"/>
          <w:lang w:val="ru-RU"/>
        </w:rPr>
        <w:t xml:space="preserve"> составило </w:t>
      </w:r>
      <w:r w:rsidR="00BA4CDF">
        <w:rPr>
          <w:rFonts w:ascii="Times New Roman" w:hAnsi="Times New Roman"/>
          <w:szCs w:val="28"/>
          <w:lang w:val="ru-RU"/>
        </w:rPr>
        <w:t>34</w:t>
      </w:r>
      <w:r w:rsidR="001D26CF" w:rsidRPr="001D26CF">
        <w:rPr>
          <w:rFonts w:ascii="Times New Roman" w:hAnsi="Times New Roman"/>
          <w:szCs w:val="28"/>
          <w:lang w:val="ru-RU"/>
        </w:rPr>
        <w:t>%, число участн</w:t>
      </w:r>
      <w:r w:rsidR="008F4DCD">
        <w:rPr>
          <w:rFonts w:ascii="Times New Roman" w:hAnsi="Times New Roman"/>
          <w:szCs w:val="28"/>
          <w:lang w:val="ru-RU"/>
        </w:rPr>
        <w:t xml:space="preserve">иков конкурентных процедур – </w:t>
      </w:r>
      <w:r w:rsidR="00BA4CDF">
        <w:rPr>
          <w:rFonts w:ascii="Times New Roman" w:hAnsi="Times New Roman"/>
          <w:szCs w:val="28"/>
          <w:lang w:val="ru-RU"/>
        </w:rPr>
        <w:t>3</w:t>
      </w:r>
      <w:r w:rsidR="001D26CF" w:rsidRPr="001D26CF">
        <w:rPr>
          <w:rFonts w:ascii="Times New Roman" w:hAnsi="Times New Roman"/>
          <w:szCs w:val="28"/>
          <w:lang w:val="ru-RU"/>
        </w:rPr>
        <w:t xml:space="preserve"> чел</w:t>
      </w:r>
      <w:r w:rsidR="007E6632">
        <w:rPr>
          <w:rFonts w:ascii="Times New Roman" w:hAnsi="Times New Roman"/>
          <w:szCs w:val="28"/>
          <w:lang w:val="ru-RU"/>
        </w:rPr>
        <w:t xml:space="preserve"> (при запланированных – 5 чел.)</w:t>
      </w:r>
      <w:r w:rsidR="001D26CF" w:rsidRPr="001D26CF">
        <w:rPr>
          <w:rFonts w:ascii="Times New Roman" w:hAnsi="Times New Roman"/>
          <w:szCs w:val="28"/>
          <w:lang w:val="ru-RU"/>
        </w:rPr>
        <w:t xml:space="preserve">. </w:t>
      </w:r>
      <w:proofErr w:type="gramEnd"/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1D26CF">
        <w:rPr>
          <w:rFonts w:ascii="Times New Roman" w:hAnsi="Times New Roman"/>
          <w:szCs w:val="28"/>
          <w:lang w:val="ru-RU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администрацией города Липецка оказывается имущественная поддержка субъектам малого и среднего предпринимательства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условиях.</w:t>
      </w:r>
      <w:proofErr w:type="gramEnd"/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>Информация о реализации имущества, находящегося в муниципальной собственности, размещается в открытом доступе на официальном сайте РФ для размещения информации о проведении торгов и на официальном сайте администрации города Липецка в сети «Интернет».</w:t>
      </w:r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1D26CF">
        <w:rPr>
          <w:rFonts w:ascii="Times New Roman" w:hAnsi="Times New Roman"/>
          <w:szCs w:val="28"/>
          <w:lang w:val="ru-RU"/>
        </w:rPr>
        <w:t xml:space="preserve">В соответствии с Федеральным законом от 22.07.2008 года № 159-ФЗ </w:t>
      </w:r>
      <w:r>
        <w:rPr>
          <w:rFonts w:ascii="Times New Roman" w:hAnsi="Times New Roman"/>
          <w:szCs w:val="28"/>
          <w:lang w:val="ru-RU"/>
        </w:rPr>
        <w:t xml:space="preserve">        </w:t>
      </w:r>
      <w:r w:rsidRPr="001D26CF">
        <w:rPr>
          <w:rFonts w:ascii="Times New Roman" w:hAnsi="Times New Roman"/>
          <w:szCs w:val="28"/>
          <w:lang w:val="ru-RU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субъекты малого и среднего предпринимательства, арендующие муниципальное недвижимое имущество, вправе воспользоваться преимущественным правом («льготная приватизация») на приобретение такого</w:t>
      </w:r>
      <w:proofErr w:type="gramEnd"/>
      <w:r w:rsidRPr="001D26CF">
        <w:rPr>
          <w:rFonts w:ascii="Times New Roman" w:hAnsi="Times New Roman"/>
          <w:szCs w:val="28"/>
          <w:lang w:val="ru-RU"/>
        </w:rPr>
        <w:t xml:space="preserve"> </w:t>
      </w:r>
      <w:r w:rsidRPr="001D26CF">
        <w:rPr>
          <w:rFonts w:ascii="Times New Roman" w:hAnsi="Times New Roman"/>
          <w:szCs w:val="28"/>
          <w:lang w:val="ru-RU"/>
        </w:rPr>
        <w:lastRenderedPageBreak/>
        <w:t>имущества по цене, равной его рыночной стоимости и определенной независимым оценщиком.</w:t>
      </w:r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 xml:space="preserve">В целях развития механизмов </w:t>
      </w:r>
      <w:proofErr w:type="spellStart"/>
      <w:r w:rsidRPr="001D26CF">
        <w:rPr>
          <w:rFonts w:ascii="Times New Roman" w:hAnsi="Times New Roman"/>
          <w:szCs w:val="28"/>
          <w:lang w:val="ru-RU"/>
        </w:rPr>
        <w:t>муниципально</w:t>
      </w:r>
      <w:proofErr w:type="spellEnd"/>
      <w:r w:rsidRPr="001D26CF">
        <w:rPr>
          <w:rFonts w:ascii="Times New Roman" w:hAnsi="Times New Roman"/>
          <w:szCs w:val="28"/>
          <w:lang w:val="ru-RU"/>
        </w:rPr>
        <w:t>-частного партнерства перед администрацией города стоит задача  по обеспечению открытости и доступности информации о планируемых к реализации и реализуемых проектах с применением механизмов  МЧП.</w:t>
      </w:r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>Руководствуясь нормами Федерального закона от 21.07.2005 № 115-ФЗ</w:t>
      </w:r>
      <w:r w:rsidR="006A0FD9">
        <w:rPr>
          <w:rFonts w:ascii="Times New Roman" w:hAnsi="Times New Roman"/>
          <w:szCs w:val="28"/>
          <w:lang w:val="ru-RU"/>
        </w:rPr>
        <w:t xml:space="preserve">       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1D26CF">
        <w:rPr>
          <w:rFonts w:ascii="Times New Roman" w:hAnsi="Times New Roman"/>
          <w:szCs w:val="28"/>
          <w:lang w:val="ru-RU"/>
        </w:rPr>
        <w:t>«О концессионны</w:t>
      </w:r>
      <w:r w:rsidR="00BA4CDF">
        <w:rPr>
          <w:rFonts w:ascii="Times New Roman" w:hAnsi="Times New Roman"/>
          <w:szCs w:val="28"/>
          <w:lang w:val="ru-RU"/>
        </w:rPr>
        <w:t>х соглашениях» (далее - Закон) р</w:t>
      </w:r>
      <w:r w:rsidR="00BA4CDF" w:rsidRPr="00BA4CDF">
        <w:rPr>
          <w:rFonts w:ascii="Times New Roman" w:hAnsi="Times New Roman"/>
          <w:szCs w:val="28"/>
          <w:lang w:val="ru-RU"/>
        </w:rPr>
        <w:t>ешением Липецкого городского Совета депутатов от 24.12.2019 № 1035 утвержден перечень из 7 объектов, в отношении которых планируется заключение концессионных соглашений в 2020 году.</w:t>
      </w:r>
      <w:r w:rsidRPr="001D26CF">
        <w:rPr>
          <w:rFonts w:ascii="Times New Roman" w:hAnsi="Times New Roman"/>
          <w:szCs w:val="28"/>
          <w:lang w:val="ru-RU"/>
        </w:rPr>
        <w:t xml:space="preserve"> Данный перечень опубликован на официальном сайте Российской Федерации для размещения информации о проведении торгов, определенном Правительством Российской Федерации. </w:t>
      </w:r>
    </w:p>
    <w:p w:rsidR="008435E0" w:rsidRPr="008435E0" w:rsidRDefault="008435E0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8435E0">
        <w:rPr>
          <w:rFonts w:ascii="Times New Roman" w:hAnsi="Times New Roman"/>
          <w:szCs w:val="28"/>
          <w:lang w:val="ru-RU"/>
        </w:rPr>
        <w:t xml:space="preserve">В настоящее время администрацией города Липецка реализуется                    4 </w:t>
      </w:r>
      <w:proofErr w:type="gramStart"/>
      <w:r w:rsidRPr="008435E0">
        <w:rPr>
          <w:rFonts w:ascii="Times New Roman" w:hAnsi="Times New Roman"/>
          <w:szCs w:val="28"/>
          <w:lang w:val="ru-RU"/>
        </w:rPr>
        <w:t>концессионных</w:t>
      </w:r>
      <w:proofErr w:type="gramEnd"/>
      <w:r w:rsidRPr="008435E0">
        <w:rPr>
          <w:rFonts w:ascii="Times New Roman" w:hAnsi="Times New Roman"/>
          <w:szCs w:val="28"/>
          <w:lang w:val="ru-RU"/>
        </w:rPr>
        <w:t xml:space="preserve"> соглашения:</w:t>
      </w:r>
    </w:p>
    <w:p w:rsidR="008435E0" w:rsidRPr="008435E0" w:rsidRDefault="008435E0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8435E0">
        <w:rPr>
          <w:rFonts w:ascii="Times New Roman" w:hAnsi="Times New Roman"/>
          <w:szCs w:val="28"/>
          <w:lang w:val="ru-RU"/>
        </w:rPr>
        <w:t>- «Создание и организация объекта социально-культурного значения: танцевальной студии для обучения танцам детей и взрослых, расположенного по адресу: г. Липецк, ул. Космонавтов, д. 20/3» с объемом инвестиций  в размере    12,6 млн. рублей. Срок действия соглашения с 27.07.2011 по 27.07.2021.</w:t>
      </w:r>
    </w:p>
    <w:p w:rsidR="008435E0" w:rsidRPr="008435E0" w:rsidRDefault="008435E0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8435E0">
        <w:rPr>
          <w:rFonts w:ascii="Times New Roman" w:hAnsi="Times New Roman"/>
          <w:szCs w:val="28"/>
          <w:lang w:val="ru-RU"/>
        </w:rPr>
        <w:t>- «Создание полигона для захоронения твердых бытовых отходов               (IV очередь строительства)» с объемом инвестиций 8,3 млн. рублей. Срок действия соглашения с 10.06.2010 по 10.06.2020.</w:t>
      </w:r>
    </w:p>
    <w:p w:rsidR="008435E0" w:rsidRPr="008435E0" w:rsidRDefault="008435E0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8435E0">
        <w:rPr>
          <w:rFonts w:ascii="Times New Roman" w:hAnsi="Times New Roman"/>
          <w:szCs w:val="28"/>
          <w:lang w:val="ru-RU"/>
        </w:rPr>
        <w:t>- «Реконструкция здания Бани, расположенного по адресу: г. Липецк, ул. Ударников, д.12а» с объемом инвестиций 7,2 млн. рублей.</w:t>
      </w:r>
      <w:proofErr w:type="gramEnd"/>
      <w:r w:rsidRPr="008435E0">
        <w:rPr>
          <w:rFonts w:ascii="Times New Roman" w:hAnsi="Times New Roman"/>
          <w:szCs w:val="28"/>
          <w:lang w:val="ru-RU"/>
        </w:rPr>
        <w:t xml:space="preserve"> Срок действия соглашения с 29.09.2017 по 29.09.2034.</w:t>
      </w:r>
    </w:p>
    <w:p w:rsidR="008435E0" w:rsidRDefault="008435E0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8435E0">
        <w:rPr>
          <w:rFonts w:ascii="Times New Roman" w:hAnsi="Times New Roman"/>
          <w:szCs w:val="28"/>
          <w:lang w:val="ru-RU"/>
        </w:rPr>
        <w:t xml:space="preserve">- «Строительство спортивного зала со встроенными вспомогательными помещениями в г. Липецке по ул. </w:t>
      </w:r>
      <w:proofErr w:type="spellStart"/>
      <w:r w:rsidRPr="008435E0">
        <w:rPr>
          <w:rFonts w:ascii="Times New Roman" w:hAnsi="Times New Roman"/>
          <w:szCs w:val="28"/>
          <w:lang w:val="ru-RU"/>
        </w:rPr>
        <w:t>Моршанская</w:t>
      </w:r>
      <w:proofErr w:type="spellEnd"/>
      <w:r w:rsidRPr="008435E0">
        <w:rPr>
          <w:rFonts w:ascii="Times New Roman" w:hAnsi="Times New Roman"/>
          <w:szCs w:val="28"/>
          <w:lang w:val="ru-RU"/>
        </w:rPr>
        <w:t>, д. 22а» с объемом инвестиций 64,9 млн. рублей. Срок действия соглашения с 24.07.2019 по 24.07.2025.</w:t>
      </w:r>
    </w:p>
    <w:p w:rsidR="001D26CF" w:rsidRP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 xml:space="preserve">При наличии  </w:t>
      </w:r>
      <w:proofErr w:type="spellStart"/>
      <w:r w:rsidRPr="001D26CF">
        <w:rPr>
          <w:rFonts w:ascii="Times New Roman" w:hAnsi="Times New Roman"/>
          <w:szCs w:val="28"/>
          <w:lang w:val="ru-RU"/>
        </w:rPr>
        <w:t>моноотраслевой</w:t>
      </w:r>
      <w:proofErr w:type="spellEnd"/>
      <w:r w:rsidRPr="001D26CF">
        <w:rPr>
          <w:rFonts w:ascii="Times New Roman" w:hAnsi="Times New Roman"/>
          <w:szCs w:val="28"/>
          <w:lang w:val="ru-RU"/>
        </w:rPr>
        <w:t xml:space="preserve"> направле</w:t>
      </w:r>
      <w:r w:rsidR="00AA4EE7">
        <w:rPr>
          <w:rFonts w:ascii="Times New Roman" w:hAnsi="Times New Roman"/>
          <w:szCs w:val="28"/>
          <w:lang w:val="ru-RU"/>
        </w:rPr>
        <w:t>нности экономики города Липецка</w:t>
      </w:r>
      <w:r w:rsidRPr="001D26CF">
        <w:rPr>
          <w:rFonts w:ascii="Times New Roman" w:hAnsi="Times New Roman"/>
          <w:szCs w:val="28"/>
          <w:lang w:val="ru-RU"/>
        </w:rPr>
        <w:t xml:space="preserve"> актуальным направлением остается увеличение субъектов малого и среднего бизнеса.</w:t>
      </w:r>
    </w:p>
    <w:p w:rsidR="001D26CF" w:rsidRPr="00376EAE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>Проведение конкурсов проектов (</w:t>
      </w:r>
      <w:proofErr w:type="spellStart"/>
      <w:r w:rsidRPr="001D26CF">
        <w:rPr>
          <w:rFonts w:ascii="Times New Roman" w:hAnsi="Times New Roman"/>
          <w:szCs w:val="28"/>
          <w:lang w:val="ru-RU"/>
        </w:rPr>
        <w:t>грантовой</w:t>
      </w:r>
      <w:proofErr w:type="spellEnd"/>
      <w:r w:rsidRPr="001D26CF">
        <w:rPr>
          <w:rFonts w:ascii="Times New Roman" w:hAnsi="Times New Roman"/>
          <w:szCs w:val="28"/>
          <w:lang w:val="ru-RU"/>
        </w:rPr>
        <w:t xml:space="preserve"> поддержки) по направлениям молодежной политики (работы с молодежью), среди физических лиц от 18 до 30 лет, социально ориентированных некоммерческих организаций способствует созданию новых площадок самоорганизации молодежи в интересах города, вовлечению большего количества молодежи в общественную жизнь города, самоидентификации участников как активных жителей города. </w:t>
      </w:r>
      <w:r w:rsidR="008435E0">
        <w:rPr>
          <w:rFonts w:ascii="Times New Roman" w:hAnsi="Times New Roman"/>
          <w:szCs w:val="28"/>
          <w:lang w:val="ru-RU"/>
        </w:rPr>
        <w:t>В 2019 году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8F4DCD">
        <w:rPr>
          <w:rFonts w:ascii="Times New Roman" w:hAnsi="Times New Roman"/>
          <w:szCs w:val="28"/>
          <w:lang w:val="ru-RU"/>
        </w:rPr>
        <w:t xml:space="preserve">18 </w:t>
      </w:r>
      <w:r w:rsidRPr="001D26CF">
        <w:rPr>
          <w:rFonts w:ascii="Times New Roman" w:hAnsi="Times New Roman"/>
          <w:szCs w:val="28"/>
          <w:lang w:val="ru-RU"/>
        </w:rPr>
        <w:t>молодежных социально-экономических проектов получили поддержку администрации города Липецка</w:t>
      </w:r>
      <w:r w:rsidR="008F4DCD">
        <w:rPr>
          <w:rFonts w:ascii="Times New Roman" w:hAnsi="Times New Roman"/>
          <w:szCs w:val="28"/>
          <w:lang w:val="ru-RU"/>
        </w:rPr>
        <w:t>.</w:t>
      </w:r>
    </w:p>
    <w:p w:rsid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 xml:space="preserve">В настоящее время на территории города Липецка действует более </w:t>
      </w:r>
      <w:r w:rsidR="008F4DCD">
        <w:rPr>
          <w:rFonts w:ascii="Times New Roman" w:hAnsi="Times New Roman"/>
          <w:szCs w:val="28"/>
          <w:lang w:val="ru-RU"/>
        </w:rPr>
        <w:t xml:space="preserve">150 </w:t>
      </w:r>
      <w:r w:rsidRPr="001D26CF">
        <w:rPr>
          <w:rFonts w:ascii="Times New Roman" w:hAnsi="Times New Roman"/>
          <w:szCs w:val="28"/>
          <w:lang w:val="ru-RU"/>
        </w:rPr>
        <w:t>социально ориентированных некоммерческих организаций, выступающих партнерами органов местного самоуправления города Липецка в реализации общественно полезных программ.</w:t>
      </w:r>
    </w:p>
    <w:p w:rsidR="00A33107" w:rsidRPr="00A33107" w:rsidRDefault="00A33107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A33107">
        <w:rPr>
          <w:rFonts w:ascii="Times New Roman" w:hAnsi="Times New Roman"/>
          <w:szCs w:val="28"/>
          <w:lang w:val="ru-RU"/>
        </w:rPr>
        <w:t xml:space="preserve">В целях оказания социальной поддержки отдельным категориям граждан в городе Липецке, для создания условий успешной социализации и эффективной </w:t>
      </w:r>
      <w:r w:rsidRPr="00A33107">
        <w:rPr>
          <w:rFonts w:ascii="Times New Roman" w:hAnsi="Times New Roman"/>
          <w:szCs w:val="28"/>
          <w:lang w:val="ru-RU"/>
        </w:rPr>
        <w:lastRenderedPageBreak/>
        <w:t>самореализации населения постановлением администрации города Липецка от 14.10.2016 № 1851 утверждена муниципальная программа города Липецка «Липецк - мы вместе! на 2017 - 2022 годы».</w:t>
      </w:r>
    </w:p>
    <w:p w:rsidR="00A33107" w:rsidRDefault="00A33107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A33107">
        <w:rPr>
          <w:rFonts w:ascii="Times New Roman" w:hAnsi="Times New Roman"/>
          <w:szCs w:val="28"/>
          <w:lang w:val="ru-RU"/>
        </w:rPr>
        <w:t>Реализация данной программы направлена на формирование эффективной системы взаимодействия органов местного самоуправления с институтами гражданского общества, социально ориентированными некоммерческими организациями, повышение гражданской активности и ответственности населения, в том числе у представителей молодого поколения, развитие самоуправляемости территорий, создание условий для улучшения качества жизни всех слоев населения, формирование социального и межнационального согласия</w:t>
      </w:r>
      <w:r>
        <w:rPr>
          <w:rFonts w:ascii="Times New Roman" w:hAnsi="Times New Roman"/>
          <w:szCs w:val="28"/>
          <w:lang w:val="ru-RU"/>
        </w:rPr>
        <w:t>.</w:t>
      </w:r>
    </w:p>
    <w:p w:rsidR="001D26CF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>В целях создания эффективной системы поддержки и продвижения наукоемких, инновационных проектов от момента зарождения научной идеи до организации мелкосерийно</w:t>
      </w:r>
      <w:r w:rsidR="00A9730A">
        <w:rPr>
          <w:rFonts w:ascii="Times New Roman" w:hAnsi="Times New Roman"/>
          <w:szCs w:val="28"/>
          <w:lang w:val="ru-RU"/>
        </w:rPr>
        <w:t>го выпуска продукции в течение 7</w:t>
      </w:r>
      <w:r w:rsidRPr="001D26CF">
        <w:rPr>
          <w:rFonts w:ascii="Times New Roman" w:hAnsi="Times New Roman"/>
          <w:szCs w:val="28"/>
          <w:lang w:val="ru-RU"/>
        </w:rPr>
        <w:t xml:space="preserve"> лет осуществляет свою деятельность МБУ «Технопарк-Липецк». </w:t>
      </w:r>
      <w:r w:rsidR="008435E0">
        <w:rPr>
          <w:rFonts w:ascii="Times New Roman" w:hAnsi="Times New Roman"/>
          <w:szCs w:val="28"/>
          <w:lang w:val="ru-RU"/>
        </w:rPr>
        <w:t>По состоянию на 01.01.2020 о</w:t>
      </w:r>
      <w:r w:rsidRPr="001D26CF">
        <w:rPr>
          <w:rFonts w:ascii="Times New Roman" w:hAnsi="Times New Roman"/>
          <w:szCs w:val="28"/>
          <w:lang w:val="ru-RU"/>
        </w:rPr>
        <w:t xml:space="preserve">бщее число резидентов МБУ «Технопарк-Липецк» </w:t>
      </w:r>
      <w:r w:rsidR="00D05A76">
        <w:rPr>
          <w:rFonts w:ascii="Times New Roman" w:hAnsi="Times New Roman"/>
          <w:szCs w:val="28"/>
          <w:lang w:val="ru-RU"/>
        </w:rPr>
        <w:t>составило</w:t>
      </w:r>
      <w:r w:rsidRPr="001D26CF">
        <w:rPr>
          <w:rFonts w:ascii="Times New Roman" w:hAnsi="Times New Roman"/>
          <w:szCs w:val="28"/>
          <w:lang w:val="ru-RU"/>
        </w:rPr>
        <w:t xml:space="preserve"> </w:t>
      </w:r>
      <w:r w:rsidR="00A33107">
        <w:rPr>
          <w:rFonts w:ascii="Times New Roman" w:hAnsi="Times New Roman"/>
          <w:szCs w:val="28"/>
          <w:lang w:val="ru-RU"/>
        </w:rPr>
        <w:t>3</w:t>
      </w:r>
      <w:r w:rsidR="008435E0">
        <w:rPr>
          <w:rFonts w:ascii="Times New Roman" w:hAnsi="Times New Roman"/>
          <w:szCs w:val="28"/>
          <w:lang w:val="ru-RU"/>
        </w:rPr>
        <w:t>2</w:t>
      </w:r>
      <w:r w:rsidR="004168C2">
        <w:rPr>
          <w:rFonts w:ascii="Times New Roman" w:hAnsi="Times New Roman"/>
          <w:szCs w:val="28"/>
          <w:lang w:val="ru-RU"/>
        </w:rPr>
        <w:t xml:space="preserve"> ед.</w:t>
      </w:r>
      <w:r w:rsidRPr="001D26CF">
        <w:rPr>
          <w:rFonts w:ascii="Times New Roman" w:hAnsi="Times New Roman"/>
          <w:szCs w:val="28"/>
          <w:lang w:val="ru-RU"/>
        </w:rPr>
        <w:t xml:space="preserve"> (при запланированном  годовом значении </w:t>
      </w:r>
      <w:r w:rsidR="007E6632">
        <w:rPr>
          <w:rFonts w:ascii="Times New Roman" w:hAnsi="Times New Roman"/>
          <w:szCs w:val="28"/>
          <w:lang w:val="ru-RU"/>
        </w:rPr>
        <w:t>–</w:t>
      </w:r>
      <w:r w:rsidR="00A9730A">
        <w:rPr>
          <w:rFonts w:ascii="Times New Roman" w:hAnsi="Times New Roman"/>
          <w:szCs w:val="28"/>
          <w:lang w:val="ru-RU"/>
        </w:rPr>
        <w:t xml:space="preserve"> </w:t>
      </w:r>
      <w:r w:rsidR="00A33107">
        <w:rPr>
          <w:rFonts w:ascii="Times New Roman" w:hAnsi="Times New Roman"/>
          <w:szCs w:val="28"/>
          <w:lang w:val="ru-RU"/>
        </w:rPr>
        <w:t>31</w:t>
      </w:r>
      <w:r w:rsidR="007E6632">
        <w:rPr>
          <w:rFonts w:ascii="Times New Roman" w:hAnsi="Times New Roman"/>
          <w:szCs w:val="28"/>
          <w:lang w:val="ru-RU"/>
        </w:rPr>
        <w:t xml:space="preserve"> ед.</w:t>
      </w:r>
      <w:r w:rsidRPr="001D26CF">
        <w:rPr>
          <w:rFonts w:ascii="Times New Roman" w:hAnsi="Times New Roman"/>
          <w:szCs w:val="28"/>
          <w:lang w:val="ru-RU"/>
        </w:rPr>
        <w:t>).</w:t>
      </w:r>
    </w:p>
    <w:p w:rsidR="008435E0" w:rsidRDefault="001D26CF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1D26CF">
        <w:rPr>
          <w:rFonts w:ascii="Times New Roman" w:hAnsi="Times New Roman"/>
          <w:szCs w:val="28"/>
          <w:lang w:val="ru-RU"/>
        </w:rPr>
        <w:t>«Дорожной картой» предусмотрено проведение форумов, конкурсов, конференций и других мероприятий для субъектов малого и среднего предпринимательства</w:t>
      </w:r>
      <w:r w:rsidR="00794C64">
        <w:rPr>
          <w:rFonts w:ascii="Times New Roman" w:hAnsi="Times New Roman"/>
          <w:szCs w:val="28"/>
          <w:lang w:val="ru-RU"/>
        </w:rPr>
        <w:t xml:space="preserve">, в том числе осуществляющих деятельность в </w:t>
      </w:r>
      <w:r w:rsidRPr="001D26CF">
        <w:rPr>
          <w:rFonts w:ascii="Times New Roman" w:hAnsi="Times New Roman"/>
          <w:szCs w:val="28"/>
          <w:lang w:val="ru-RU"/>
        </w:rPr>
        <w:t xml:space="preserve"> инновационной </w:t>
      </w:r>
      <w:r w:rsidR="00794C64">
        <w:rPr>
          <w:rFonts w:ascii="Times New Roman" w:hAnsi="Times New Roman"/>
          <w:szCs w:val="28"/>
          <w:lang w:val="ru-RU"/>
        </w:rPr>
        <w:t>сфере</w:t>
      </w:r>
      <w:r w:rsidRPr="001D26CF">
        <w:rPr>
          <w:rFonts w:ascii="Times New Roman" w:hAnsi="Times New Roman"/>
          <w:szCs w:val="28"/>
          <w:lang w:val="ru-RU"/>
        </w:rPr>
        <w:t xml:space="preserve">. </w:t>
      </w:r>
      <w:r w:rsidR="008435E0">
        <w:rPr>
          <w:rFonts w:ascii="Times New Roman" w:hAnsi="Times New Roman"/>
          <w:szCs w:val="28"/>
          <w:lang w:val="ru-RU"/>
        </w:rPr>
        <w:t>В 2019 году</w:t>
      </w:r>
      <w:r w:rsidR="00A33107">
        <w:rPr>
          <w:rFonts w:ascii="Times New Roman" w:hAnsi="Times New Roman"/>
          <w:szCs w:val="28"/>
          <w:lang w:val="ru-RU"/>
        </w:rPr>
        <w:t xml:space="preserve"> </w:t>
      </w:r>
      <w:r w:rsidRPr="001D26CF">
        <w:rPr>
          <w:rFonts w:ascii="Times New Roman" w:hAnsi="Times New Roman"/>
          <w:szCs w:val="28"/>
          <w:lang w:val="ru-RU"/>
        </w:rPr>
        <w:t>проведено более 10</w:t>
      </w:r>
      <w:r w:rsidR="004168C2">
        <w:rPr>
          <w:rFonts w:ascii="Times New Roman" w:hAnsi="Times New Roman"/>
          <w:szCs w:val="28"/>
          <w:lang w:val="ru-RU"/>
        </w:rPr>
        <w:t xml:space="preserve"> мероприятий</w:t>
      </w:r>
      <w:r w:rsidR="008435E0">
        <w:rPr>
          <w:rFonts w:ascii="Times New Roman" w:hAnsi="Times New Roman"/>
          <w:szCs w:val="28"/>
          <w:lang w:val="ru-RU"/>
        </w:rPr>
        <w:t>.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D50116">
        <w:rPr>
          <w:rFonts w:ascii="Times New Roman" w:hAnsi="Times New Roman"/>
          <w:szCs w:val="28"/>
          <w:lang w:val="ru-RU"/>
        </w:rPr>
        <w:t xml:space="preserve">На регулярной основе проводились обучающие мероприятия, «круглые столы», семинары и тренинги по различной тематике (изобретения и защита авторского права, вопросы лицензирования и аттестации рабочих, бережливое производство, финансовое планирование, управление рисками в проектах и бизнесе, </w:t>
      </w:r>
      <w:proofErr w:type="spellStart"/>
      <w:r w:rsidRPr="00D50116">
        <w:rPr>
          <w:rFonts w:ascii="Times New Roman" w:hAnsi="Times New Roman"/>
          <w:szCs w:val="28"/>
          <w:lang w:val="ru-RU"/>
        </w:rPr>
        <w:t>нетворкинг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 – флагман в мире бизнес - знакомств, дизайн мышление,  законная оптимизация налогов при применении УСН, экономическая эффективность деятельности предприятий и др.)</w:t>
      </w:r>
      <w:proofErr w:type="gramEnd"/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>Вместе с тем на территории муниципального образования были организованы: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региональный этап </w:t>
      </w:r>
      <w:proofErr w:type="spellStart"/>
      <w:r w:rsidRPr="00D50116">
        <w:rPr>
          <w:rFonts w:ascii="Times New Roman" w:hAnsi="Times New Roman"/>
          <w:szCs w:val="28"/>
          <w:lang w:val="ru-RU"/>
        </w:rPr>
        <w:t>Open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50116">
        <w:rPr>
          <w:rFonts w:ascii="Times New Roman" w:hAnsi="Times New Roman"/>
          <w:szCs w:val="28"/>
          <w:lang w:val="ru-RU"/>
        </w:rPr>
        <w:t>Innovations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50116">
        <w:rPr>
          <w:rFonts w:ascii="Times New Roman" w:hAnsi="Times New Roman"/>
          <w:szCs w:val="28"/>
          <w:lang w:val="ru-RU"/>
        </w:rPr>
        <w:t>Startup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50116">
        <w:rPr>
          <w:rFonts w:ascii="Times New Roman" w:hAnsi="Times New Roman"/>
          <w:szCs w:val="28"/>
          <w:lang w:val="ru-RU"/>
        </w:rPr>
        <w:t>Tour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 «Цифровой регион»;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>- образовательный Бизнес-форум Открытого клуба предпринимателей;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>- открытая менторская сессия с участием экспертов Фонда «</w:t>
      </w:r>
      <w:proofErr w:type="spellStart"/>
      <w:r w:rsidRPr="00D50116">
        <w:rPr>
          <w:rFonts w:ascii="Times New Roman" w:hAnsi="Times New Roman"/>
          <w:szCs w:val="28"/>
          <w:lang w:val="ru-RU"/>
        </w:rPr>
        <w:t>Сколково</w:t>
      </w:r>
      <w:proofErr w:type="spellEnd"/>
      <w:r w:rsidRPr="00D50116">
        <w:rPr>
          <w:rFonts w:ascii="Times New Roman" w:hAnsi="Times New Roman"/>
          <w:szCs w:val="28"/>
          <w:lang w:val="ru-RU"/>
        </w:rPr>
        <w:t>»;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Бизнес-форум по развитию малого и среднего бизнеса. 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D50116">
        <w:rPr>
          <w:rFonts w:ascii="Times New Roman" w:hAnsi="Times New Roman"/>
          <w:szCs w:val="28"/>
          <w:lang w:val="ru-RU"/>
        </w:rPr>
        <w:t xml:space="preserve">В </w:t>
      </w:r>
      <w:proofErr w:type="spellStart"/>
      <w:r w:rsidRPr="00D50116">
        <w:rPr>
          <w:rFonts w:ascii="Times New Roman" w:hAnsi="Times New Roman"/>
          <w:szCs w:val="28"/>
          <w:lang w:val="ru-RU"/>
        </w:rPr>
        <w:t>коворкинг</w:t>
      </w:r>
      <w:proofErr w:type="spellEnd"/>
      <w:r w:rsidRPr="00D50116">
        <w:rPr>
          <w:rFonts w:ascii="Times New Roman" w:hAnsi="Times New Roman"/>
          <w:szCs w:val="28"/>
          <w:lang w:val="ru-RU"/>
        </w:rPr>
        <w:t>-центре «Точка кипения» состоялась встреча «Клуба креативных людей и идей», а также проведены Форум «</w:t>
      </w:r>
      <w:proofErr w:type="spellStart"/>
      <w:r w:rsidRPr="00D50116">
        <w:rPr>
          <w:rFonts w:ascii="Times New Roman" w:hAnsi="Times New Roman"/>
          <w:szCs w:val="28"/>
          <w:lang w:val="ru-RU"/>
        </w:rPr>
        <w:t>Data-хакатон</w:t>
      </w:r>
      <w:proofErr w:type="spellEnd"/>
      <w:r w:rsidRPr="00D50116">
        <w:rPr>
          <w:rFonts w:ascii="Times New Roman" w:hAnsi="Times New Roman"/>
          <w:szCs w:val="28"/>
          <w:lang w:val="ru-RU"/>
        </w:rPr>
        <w:t>», организованный при содействии Агентства стратегических инициатив, Стратегическая сессия и семинар-практикум по развитию женского предпринимательства; организован открытый диалог с представителями региональной и муниципальной власти, различных надзорных органов и инфраструктуры поддержки бизнеса в формате «вопрос-ответ».</w:t>
      </w:r>
      <w:proofErr w:type="gramEnd"/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Также, с целью выявления проблем развития бизнеса проведено 7 </w:t>
      </w:r>
      <w:proofErr w:type="gramStart"/>
      <w:r w:rsidRPr="00D50116">
        <w:rPr>
          <w:rFonts w:ascii="Times New Roman" w:hAnsi="Times New Roman"/>
          <w:szCs w:val="28"/>
          <w:lang w:val="ru-RU"/>
        </w:rPr>
        <w:t>фокус-групп</w:t>
      </w:r>
      <w:proofErr w:type="gramEnd"/>
      <w:r w:rsidRPr="00D50116">
        <w:rPr>
          <w:rFonts w:ascii="Times New Roman" w:hAnsi="Times New Roman"/>
          <w:szCs w:val="28"/>
          <w:lang w:val="ru-RU"/>
        </w:rPr>
        <w:t xml:space="preserve"> с участием предпринимателей, осуществляющих деятельность в сферах: производства, строительства, оказания медицинских, спортивных, бытовых услуг и других. 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lastRenderedPageBreak/>
        <w:t xml:space="preserve">Кроме того, резиденты технопарка и заинтересованные представители бизнес-сообщества приняли участие </w:t>
      </w:r>
      <w:proofErr w:type="gramStart"/>
      <w:r w:rsidRPr="00D50116">
        <w:rPr>
          <w:rFonts w:ascii="Times New Roman" w:hAnsi="Times New Roman"/>
          <w:szCs w:val="28"/>
          <w:lang w:val="ru-RU"/>
        </w:rPr>
        <w:t>в</w:t>
      </w:r>
      <w:proofErr w:type="gramEnd"/>
      <w:r w:rsidRPr="00D50116">
        <w:rPr>
          <w:rFonts w:ascii="Times New Roman" w:hAnsi="Times New Roman"/>
          <w:szCs w:val="28"/>
          <w:lang w:val="ru-RU"/>
        </w:rPr>
        <w:t>: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</w:t>
      </w:r>
      <w:proofErr w:type="gramStart"/>
      <w:r w:rsidRPr="00D50116">
        <w:rPr>
          <w:rFonts w:ascii="Times New Roman" w:hAnsi="Times New Roman"/>
          <w:szCs w:val="28"/>
          <w:lang w:val="ru-RU"/>
        </w:rPr>
        <w:t>финале</w:t>
      </w:r>
      <w:proofErr w:type="gramEnd"/>
      <w:r w:rsidRPr="00D50116">
        <w:rPr>
          <w:rFonts w:ascii="Times New Roman" w:hAnsi="Times New Roman"/>
          <w:szCs w:val="28"/>
          <w:lang w:val="ru-RU"/>
        </w:rPr>
        <w:t xml:space="preserve"> программы «УМНИК», организованном при содействии регионального представительства Фонда содействия инновациям; 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встрече </w:t>
      </w:r>
      <w:proofErr w:type="gramStart"/>
      <w:r w:rsidRPr="00D50116">
        <w:rPr>
          <w:rFonts w:ascii="Times New Roman" w:hAnsi="Times New Roman"/>
          <w:szCs w:val="28"/>
          <w:lang w:val="ru-RU"/>
        </w:rPr>
        <w:t>бизнес-делегации</w:t>
      </w:r>
      <w:proofErr w:type="gramEnd"/>
      <w:r w:rsidRPr="00D50116">
        <w:rPr>
          <w:rFonts w:ascii="Times New Roman" w:hAnsi="Times New Roman"/>
          <w:szCs w:val="28"/>
          <w:lang w:val="ru-RU"/>
        </w:rPr>
        <w:t xml:space="preserve"> из города Саратова и государства Финляндия проводимой в технопарке;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</w:t>
      </w:r>
      <w:proofErr w:type="gramStart"/>
      <w:r w:rsidRPr="00D50116">
        <w:rPr>
          <w:rFonts w:ascii="Times New Roman" w:hAnsi="Times New Roman"/>
          <w:szCs w:val="28"/>
          <w:lang w:val="ru-RU"/>
        </w:rPr>
        <w:t>тренинге</w:t>
      </w:r>
      <w:proofErr w:type="gramEnd"/>
      <w:r w:rsidRPr="00D50116">
        <w:rPr>
          <w:rFonts w:ascii="Times New Roman" w:hAnsi="Times New Roman"/>
          <w:szCs w:val="28"/>
          <w:lang w:val="ru-RU"/>
        </w:rPr>
        <w:t xml:space="preserve"> «Эмоциональный интеллект, как конкурентное преимущество в бизнесе», организованном администрацией Липецкой области при содействии ведущего бизнес-тренера </w:t>
      </w:r>
      <w:proofErr w:type="spellStart"/>
      <w:r w:rsidRPr="00D50116">
        <w:rPr>
          <w:rFonts w:ascii="Times New Roman" w:hAnsi="Times New Roman"/>
          <w:szCs w:val="28"/>
          <w:lang w:val="ru-RU"/>
        </w:rPr>
        <w:t>Р.Гандапаса</w:t>
      </w:r>
      <w:proofErr w:type="spellEnd"/>
      <w:r w:rsidRPr="00D50116">
        <w:rPr>
          <w:rFonts w:ascii="Times New Roman" w:hAnsi="Times New Roman"/>
          <w:szCs w:val="28"/>
          <w:lang w:val="ru-RU"/>
        </w:rPr>
        <w:t>;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>- выставке «Промышленный комплекс региона», посвященной 65-летию Липецкой области;</w:t>
      </w:r>
    </w:p>
    <w:p w:rsidR="00D50116" w:rsidRP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</w:t>
      </w:r>
      <w:proofErr w:type="spellStart"/>
      <w:r w:rsidRPr="00D50116">
        <w:rPr>
          <w:rFonts w:ascii="Times New Roman" w:hAnsi="Times New Roman"/>
          <w:szCs w:val="28"/>
          <w:lang w:val="ru-RU"/>
        </w:rPr>
        <w:t>форсайт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-сессии, посвященной Дню российской науки, проводимой </w:t>
      </w:r>
      <w:proofErr w:type="gramStart"/>
      <w:r w:rsidRPr="00D50116">
        <w:rPr>
          <w:rFonts w:ascii="Times New Roman" w:hAnsi="Times New Roman"/>
          <w:szCs w:val="28"/>
          <w:lang w:val="ru-RU"/>
        </w:rPr>
        <w:t>в</w:t>
      </w:r>
      <w:proofErr w:type="gramEnd"/>
      <w:r w:rsidRPr="00D50116">
        <w:rPr>
          <w:rFonts w:ascii="Times New Roman" w:hAnsi="Times New Roman"/>
          <w:szCs w:val="28"/>
          <w:lang w:val="ru-RU"/>
        </w:rPr>
        <w:t xml:space="preserve"> липецком </w:t>
      </w:r>
      <w:proofErr w:type="spellStart"/>
      <w:r w:rsidRPr="00D50116">
        <w:rPr>
          <w:rFonts w:ascii="Times New Roman" w:hAnsi="Times New Roman"/>
          <w:szCs w:val="28"/>
          <w:lang w:val="ru-RU"/>
        </w:rPr>
        <w:t>Кванториуме</w:t>
      </w:r>
      <w:proofErr w:type="spellEnd"/>
      <w:r w:rsidRPr="00D50116">
        <w:rPr>
          <w:rFonts w:ascii="Times New Roman" w:hAnsi="Times New Roman"/>
          <w:szCs w:val="28"/>
          <w:lang w:val="ru-RU"/>
        </w:rPr>
        <w:t>;</w:t>
      </w:r>
    </w:p>
    <w:p w:rsidR="00D50116" w:rsidRDefault="00D50116" w:rsidP="00D50116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D50116">
        <w:rPr>
          <w:rFonts w:ascii="Times New Roman" w:hAnsi="Times New Roman"/>
          <w:szCs w:val="28"/>
          <w:lang w:val="ru-RU"/>
        </w:rPr>
        <w:t xml:space="preserve">- </w:t>
      </w:r>
      <w:proofErr w:type="gramStart"/>
      <w:r w:rsidRPr="00D50116">
        <w:rPr>
          <w:rFonts w:ascii="Times New Roman" w:hAnsi="Times New Roman"/>
          <w:szCs w:val="28"/>
          <w:lang w:val="ru-RU"/>
        </w:rPr>
        <w:t>международной</w:t>
      </w:r>
      <w:proofErr w:type="gramEnd"/>
      <w:r w:rsidRPr="00D5011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50116">
        <w:rPr>
          <w:rFonts w:ascii="Times New Roman" w:hAnsi="Times New Roman"/>
          <w:szCs w:val="28"/>
          <w:lang w:val="ru-RU"/>
        </w:rPr>
        <w:t>стартап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-конференции </w:t>
      </w:r>
      <w:proofErr w:type="spellStart"/>
      <w:r w:rsidRPr="00D50116">
        <w:rPr>
          <w:rFonts w:ascii="Times New Roman" w:hAnsi="Times New Roman"/>
          <w:szCs w:val="28"/>
          <w:lang w:val="ru-RU"/>
        </w:rPr>
        <w:t>Стартап</w:t>
      </w:r>
      <w:proofErr w:type="spellEnd"/>
      <w:r w:rsidRPr="00D5011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50116">
        <w:rPr>
          <w:rFonts w:ascii="Times New Roman" w:hAnsi="Times New Roman"/>
          <w:szCs w:val="28"/>
          <w:lang w:val="ru-RU"/>
        </w:rPr>
        <w:t>Вилидж</w:t>
      </w:r>
      <w:proofErr w:type="spellEnd"/>
      <w:r w:rsidRPr="00D50116">
        <w:rPr>
          <w:rFonts w:ascii="Times New Roman" w:hAnsi="Times New Roman"/>
          <w:szCs w:val="28"/>
          <w:lang w:val="ru-RU"/>
        </w:rPr>
        <w:t>, организованной для представителей технологического бизнес - сообщества в городе Москва.</w:t>
      </w:r>
    </w:p>
    <w:p w:rsidR="00D10146" w:rsidRPr="00D10146" w:rsidRDefault="00F3535D" w:rsidP="004659F8">
      <w:pPr>
        <w:tabs>
          <w:tab w:val="left" w:pos="4678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 w:rsidRPr="00F3535D">
        <w:rPr>
          <w:rFonts w:ascii="Times New Roman" w:hAnsi="Times New Roman"/>
          <w:szCs w:val="28"/>
          <w:lang w:val="ru-RU"/>
        </w:rPr>
        <w:t xml:space="preserve">Подобные мероприятия способствуют поддержанию здоровой конкурентной среды в регионе, а также помогают небольшим фирмам </w:t>
      </w:r>
      <w:r w:rsidR="007E6632">
        <w:rPr>
          <w:rFonts w:ascii="Times New Roman" w:hAnsi="Times New Roman"/>
          <w:szCs w:val="28"/>
          <w:lang w:val="ru-RU"/>
        </w:rPr>
        <w:t>эффективно развиваться</w:t>
      </w:r>
      <w:r w:rsidRPr="00F3535D">
        <w:rPr>
          <w:rFonts w:ascii="Times New Roman" w:hAnsi="Times New Roman"/>
          <w:szCs w:val="28"/>
          <w:lang w:val="ru-RU"/>
        </w:rPr>
        <w:t>.</w:t>
      </w:r>
      <w:r w:rsidR="00D10146" w:rsidRPr="00D10146">
        <w:rPr>
          <w:rFonts w:ascii="Times New Roman" w:hAnsi="Times New Roman"/>
          <w:szCs w:val="28"/>
          <w:lang w:val="ru-RU"/>
        </w:rPr>
        <w:t xml:space="preserve"> </w:t>
      </w:r>
    </w:p>
    <w:p w:rsidR="006A0FD9" w:rsidRDefault="006A0FD9" w:rsidP="000F4766">
      <w:pPr>
        <w:tabs>
          <w:tab w:val="left" w:pos="4678"/>
        </w:tabs>
        <w:jc w:val="both"/>
        <w:rPr>
          <w:szCs w:val="28"/>
          <w:lang w:val="ru-RU"/>
        </w:rPr>
      </w:pPr>
    </w:p>
    <w:p w:rsidR="00A9730A" w:rsidRDefault="00A9730A" w:rsidP="000F4766">
      <w:pPr>
        <w:tabs>
          <w:tab w:val="left" w:pos="4678"/>
        </w:tabs>
        <w:jc w:val="both"/>
        <w:rPr>
          <w:szCs w:val="28"/>
          <w:lang w:val="ru-RU"/>
        </w:rPr>
      </w:pPr>
    </w:p>
    <w:p w:rsidR="00A9730A" w:rsidRPr="00806911" w:rsidRDefault="00A9730A" w:rsidP="000F4766">
      <w:pPr>
        <w:tabs>
          <w:tab w:val="left" w:pos="4678"/>
        </w:tabs>
        <w:jc w:val="both"/>
        <w:rPr>
          <w:szCs w:val="28"/>
          <w:lang w:val="ru-RU"/>
        </w:rPr>
      </w:pPr>
    </w:p>
    <w:p w:rsidR="003614C1" w:rsidRDefault="004659F8" w:rsidP="000F4766">
      <w:pPr>
        <w:tabs>
          <w:tab w:val="left" w:pos="4678"/>
        </w:tabs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И.о</w:t>
      </w:r>
      <w:proofErr w:type="gramStart"/>
      <w:r>
        <w:rPr>
          <w:szCs w:val="28"/>
          <w:lang w:val="ru-RU"/>
        </w:rPr>
        <w:t>.п</w:t>
      </w:r>
      <w:proofErr w:type="gramEnd"/>
      <w:r w:rsidR="003614C1">
        <w:rPr>
          <w:szCs w:val="28"/>
          <w:lang w:val="ru-RU"/>
        </w:rPr>
        <w:t>редседател</w:t>
      </w:r>
      <w:r>
        <w:rPr>
          <w:szCs w:val="28"/>
          <w:lang w:val="ru-RU"/>
        </w:rPr>
        <w:t>я</w:t>
      </w:r>
      <w:proofErr w:type="spellEnd"/>
      <w:r w:rsidR="003614C1">
        <w:rPr>
          <w:szCs w:val="28"/>
          <w:lang w:val="ru-RU"/>
        </w:rPr>
        <w:t xml:space="preserve"> департамента                       </w:t>
      </w:r>
      <w:r w:rsidR="003153E8">
        <w:rPr>
          <w:szCs w:val="28"/>
          <w:lang w:val="ru-RU"/>
        </w:rPr>
        <w:t xml:space="preserve">        </w:t>
      </w:r>
      <w:r w:rsidR="003614C1">
        <w:rPr>
          <w:szCs w:val="28"/>
          <w:lang w:val="ru-RU"/>
        </w:rPr>
        <w:t xml:space="preserve">                             </w:t>
      </w:r>
      <w:proofErr w:type="spellStart"/>
      <w:r>
        <w:rPr>
          <w:szCs w:val="28"/>
          <w:lang w:val="ru-RU"/>
        </w:rPr>
        <w:t>Ж.К.Михайлова</w:t>
      </w:r>
      <w:proofErr w:type="spellEnd"/>
    </w:p>
    <w:p w:rsidR="004659F8" w:rsidRDefault="004659F8" w:rsidP="000F4766">
      <w:pPr>
        <w:tabs>
          <w:tab w:val="left" w:pos="4678"/>
        </w:tabs>
        <w:jc w:val="both"/>
        <w:rPr>
          <w:lang w:val="ru-RU"/>
        </w:rPr>
      </w:pPr>
    </w:p>
    <w:p w:rsidR="00F40E32" w:rsidRDefault="00F40E32" w:rsidP="000F4766">
      <w:pPr>
        <w:tabs>
          <w:tab w:val="left" w:pos="4678"/>
        </w:tabs>
        <w:jc w:val="both"/>
        <w:rPr>
          <w:lang w:val="ru-RU"/>
        </w:rPr>
      </w:pPr>
    </w:p>
    <w:p w:rsidR="00F40E32" w:rsidRDefault="00F40E32" w:rsidP="000F4766">
      <w:pPr>
        <w:tabs>
          <w:tab w:val="left" w:pos="4678"/>
        </w:tabs>
        <w:jc w:val="both"/>
        <w:rPr>
          <w:lang w:val="ru-RU"/>
        </w:rPr>
      </w:pPr>
    </w:p>
    <w:p w:rsidR="00F40E32" w:rsidRDefault="00F40E32" w:rsidP="000F4766">
      <w:pPr>
        <w:tabs>
          <w:tab w:val="left" w:pos="4678"/>
        </w:tabs>
        <w:jc w:val="both"/>
        <w:rPr>
          <w:lang w:val="ru-RU"/>
        </w:rPr>
      </w:pPr>
    </w:p>
    <w:p w:rsidR="00B32029" w:rsidRDefault="00B32029" w:rsidP="000F4766">
      <w:pPr>
        <w:tabs>
          <w:tab w:val="left" w:pos="4678"/>
        </w:tabs>
        <w:jc w:val="both"/>
        <w:rPr>
          <w:lang w:val="ru-RU"/>
        </w:rPr>
      </w:pPr>
    </w:p>
    <w:p w:rsidR="00B32029" w:rsidRDefault="00B32029" w:rsidP="000F4766">
      <w:pPr>
        <w:tabs>
          <w:tab w:val="left" w:pos="4678"/>
        </w:tabs>
        <w:jc w:val="both"/>
        <w:rPr>
          <w:lang w:val="ru-RU"/>
        </w:rPr>
      </w:pPr>
    </w:p>
    <w:p w:rsidR="00F40E32" w:rsidRDefault="00F40E32" w:rsidP="000F4766">
      <w:pPr>
        <w:tabs>
          <w:tab w:val="left" w:pos="4678"/>
        </w:tabs>
        <w:jc w:val="both"/>
        <w:rPr>
          <w:lang w:val="ru-RU"/>
        </w:rPr>
      </w:pPr>
    </w:p>
    <w:p w:rsidR="00F40E32" w:rsidRDefault="00F40E32" w:rsidP="000F4766">
      <w:pPr>
        <w:tabs>
          <w:tab w:val="left" w:pos="4678"/>
        </w:tabs>
        <w:jc w:val="both"/>
        <w:rPr>
          <w:lang w:val="ru-RU"/>
        </w:rPr>
      </w:pPr>
    </w:p>
    <w:p w:rsidR="004659F8" w:rsidRDefault="004659F8" w:rsidP="000F4766">
      <w:pPr>
        <w:tabs>
          <w:tab w:val="left" w:pos="4678"/>
        </w:tabs>
        <w:jc w:val="both"/>
        <w:rPr>
          <w:lang w:val="ru-RU"/>
        </w:rPr>
      </w:pPr>
    </w:p>
    <w:p w:rsidR="00EC13B8" w:rsidRDefault="00EC13B8" w:rsidP="000F4766">
      <w:pPr>
        <w:tabs>
          <w:tab w:val="left" w:pos="4678"/>
        </w:tabs>
        <w:jc w:val="both"/>
        <w:rPr>
          <w:lang w:val="ru-RU"/>
        </w:rPr>
      </w:pPr>
    </w:p>
    <w:p w:rsidR="00EC13B8" w:rsidRDefault="00EC13B8" w:rsidP="000F4766">
      <w:pPr>
        <w:tabs>
          <w:tab w:val="left" w:pos="4678"/>
        </w:tabs>
        <w:jc w:val="both"/>
        <w:rPr>
          <w:lang w:val="ru-RU"/>
        </w:rPr>
      </w:pPr>
    </w:p>
    <w:p w:rsidR="007203F3" w:rsidRDefault="007203F3" w:rsidP="000F4766">
      <w:pPr>
        <w:tabs>
          <w:tab w:val="left" w:pos="4678"/>
        </w:tabs>
        <w:jc w:val="both"/>
        <w:rPr>
          <w:lang w:val="ru-RU"/>
        </w:rPr>
      </w:pPr>
    </w:p>
    <w:p w:rsidR="006C3072" w:rsidRPr="00D02FE9" w:rsidRDefault="007203F3" w:rsidP="000F4766">
      <w:pPr>
        <w:tabs>
          <w:tab w:val="left" w:pos="467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Кожевникова</w:t>
      </w:r>
      <w:r w:rsidR="00D02FE9" w:rsidRPr="00D02FE9">
        <w:rPr>
          <w:sz w:val="24"/>
          <w:szCs w:val="24"/>
          <w:lang w:val="ru-RU"/>
        </w:rPr>
        <w:t xml:space="preserve"> Екатерина Сергеевна</w:t>
      </w:r>
    </w:p>
    <w:p w:rsidR="007B386E" w:rsidRPr="00D02FE9" w:rsidRDefault="00D10146" w:rsidP="000F4766">
      <w:pPr>
        <w:tabs>
          <w:tab w:val="left" w:pos="467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+7(4742)</w:t>
      </w:r>
      <w:r w:rsidR="007B386E" w:rsidRPr="00D02FE9">
        <w:rPr>
          <w:sz w:val="24"/>
          <w:szCs w:val="24"/>
          <w:lang w:val="ru-RU"/>
        </w:rPr>
        <w:t>23-91-92</w:t>
      </w:r>
    </w:p>
    <w:sectPr w:rsidR="007B386E" w:rsidRPr="00D02FE9" w:rsidSect="00A9730A">
      <w:headerReference w:type="even" r:id="rId9"/>
      <w:headerReference w:type="default" r:id="rId10"/>
      <w:type w:val="continuous"/>
      <w:pgSz w:w="11907" w:h="16840" w:code="9"/>
      <w:pgMar w:top="903" w:right="567" w:bottom="1134" w:left="1418" w:header="851" w:footer="493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CA" w:rsidRDefault="003831CA">
      <w:r>
        <w:separator/>
      </w:r>
    </w:p>
  </w:endnote>
  <w:endnote w:type="continuationSeparator" w:id="0">
    <w:p w:rsidR="003831CA" w:rsidRDefault="003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CA" w:rsidRDefault="003831CA">
      <w:r>
        <w:separator/>
      </w:r>
    </w:p>
  </w:footnote>
  <w:footnote w:type="continuationSeparator" w:id="0">
    <w:p w:rsidR="003831CA" w:rsidRDefault="0038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7C" w:rsidRDefault="00A8427C" w:rsidP="00C956C9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427C" w:rsidRDefault="00A8427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7C" w:rsidRDefault="00A8427C" w:rsidP="001D26CF">
    <w:pPr>
      <w:pStyle w:val="ad"/>
      <w:framePr w:wrap="around" w:vAnchor="text" w:hAnchor="page" w:x="6286" w:y="-425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E77B0">
      <w:rPr>
        <w:rStyle w:val="af2"/>
        <w:noProof/>
      </w:rPr>
      <w:t>1</w:t>
    </w:r>
    <w:r>
      <w:rPr>
        <w:rStyle w:val="af2"/>
      </w:rPr>
      <w:fldChar w:fldCharType="end"/>
    </w:r>
  </w:p>
  <w:p w:rsidR="00A8427C" w:rsidRPr="00A9730A" w:rsidRDefault="00A8427C" w:rsidP="00A9730A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8A5184"/>
    <w:multiLevelType w:val="hybridMultilevel"/>
    <w:tmpl w:val="7008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8"/>
    <w:rsid w:val="0000757B"/>
    <w:rsid w:val="0001133A"/>
    <w:rsid w:val="00016263"/>
    <w:rsid w:val="00017D10"/>
    <w:rsid w:val="000228D6"/>
    <w:rsid w:val="00030B18"/>
    <w:rsid w:val="000318E4"/>
    <w:rsid w:val="0003312E"/>
    <w:rsid w:val="00033750"/>
    <w:rsid w:val="00033CC8"/>
    <w:rsid w:val="000355B2"/>
    <w:rsid w:val="00036211"/>
    <w:rsid w:val="00037D6A"/>
    <w:rsid w:val="000435C3"/>
    <w:rsid w:val="000563C8"/>
    <w:rsid w:val="00063BF8"/>
    <w:rsid w:val="000667BA"/>
    <w:rsid w:val="00074E06"/>
    <w:rsid w:val="00077AD7"/>
    <w:rsid w:val="00085C89"/>
    <w:rsid w:val="00091365"/>
    <w:rsid w:val="00097172"/>
    <w:rsid w:val="000A4074"/>
    <w:rsid w:val="000A6CB5"/>
    <w:rsid w:val="000B7228"/>
    <w:rsid w:val="000C2E4B"/>
    <w:rsid w:val="000C3AD3"/>
    <w:rsid w:val="000C5586"/>
    <w:rsid w:val="000D2D19"/>
    <w:rsid w:val="000D3FE9"/>
    <w:rsid w:val="000D56D3"/>
    <w:rsid w:val="000E4D44"/>
    <w:rsid w:val="000F3FA8"/>
    <w:rsid w:val="000F4026"/>
    <w:rsid w:val="000F4766"/>
    <w:rsid w:val="000F71D3"/>
    <w:rsid w:val="00100E1E"/>
    <w:rsid w:val="00102F62"/>
    <w:rsid w:val="00103AD9"/>
    <w:rsid w:val="00105AB6"/>
    <w:rsid w:val="0010645D"/>
    <w:rsid w:val="00106666"/>
    <w:rsid w:val="00110AE3"/>
    <w:rsid w:val="00131EB1"/>
    <w:rsid w:val="00133BFB"/>
    <w:rsid w:val="00135B63"/>
    <w:rsid w:val="00135DA9"/>
    <w:rsid w:val="0013632A"/>
    <w:rsid w:val="00137179"/>
    <w:rsid w:val="00147233"/>
    <w:rsid w:val="00150AA2"/>
    <w:rsid w:val="00157EA9"/>
    <w:rsid w:val="00160243"/>
    <w:rsid w:val="00160698"/>
    <w:rsid w:val="00161DCE"/>
    <w:rsid w:val="00167224"/>
    <w:rsid w:val="00173F67"/>
    <w:rsid w:val="00183C69"/>
    <w:rsid w:val="00187BFD"/>
    <w:rsid w:val="0019696C"/>
    <w:rsid w:val="0019743E"/>
    <w:rsid w:val="001A1DAD"/>
    <w:rsid w:val="001A6163"/>
    <w:rsid w:val="001A63F2"/>
    <w:rsid w:val="001B74F2"/>
    <w:rsid w:val="001C0F5A"/>
    <w:rsid w:val="001C5AFD"/>
    <w:rsid w:val="001C6412"/>
    <w:rsid w:val="001C7D6A"/>
    <w:rsid w:val="001D17C9"/>
    <w:rsid w:val="001D26CF"/>
    <w:rsid w:val="001D478C"/>
    <w:rsid w:val="001E242C"/>
    <w:rsid w:val="001E522C"/>
    <w:rsid w:val="00205ED0"/>
    <w:rsid w:val="00211271"/>
    <w:rsid w:val="00221614"/>
    <w:rsid w:val="002221F9"/>
    <w:rsid w:val="00244C52"/>
    <w:rsid w:val="00244D6E"/>
    <w:rsid w:val="00245288"/>
    <w:rsid w:val="00253A82"/>
    <w:rsid w:val="00254712"/>
    <w:rsid w:val="002548BD"/>
    <w:rsid w:val="002549C1"/>
    <w:rsid w:val="00255BD6"/>
    <w:rsid w:val="00261292"/>
    <w:rsid w:val="0027034F"/>
    <w:rsid w:val="00275553"/>
    <w:rsid w:val="00276529"/>
    <w:rsid w:val="002769F0"/>
    <w:rsid w:val="00277F3C"/>
    <w:rsid w:val="00282A10"/>
    <w:rsid w:val="002847E5"/>
    <w:rsid w:val="00285CA4"/>
    <w:rsid w:val="0029341E"/>
    <w:rsid w:val="00293E3F"/>
    <w:rsid w:val="00296A4E"/>
    <w:rsid w:val="002A3CD8"/>
    <w:rsid w:val="002A4BDA"/>
    <w:rsid w:val="002B25FC"/>
    <w:rsid w:val="002B2B7A"/>
    <w:rsid w:val="002B32D2"/>
    <w:rsid w:val="002B5E14"/>
    <w:rsid w:val="002C0C9A"/>
    <w:rsid w:val="002C3677"/>
    <w:rsid w:val="002C41D8"/>
    <w:rsid w:val="002C6260"/>
    <w:rsid w:val="002C752A"/>
    <w:rsid w:val="002D596A"/>
    <w:rsid w:val="002E011B"/>
    <w:rsid w:val="002E2C5A"/>
    <w:rsid w:val="00307496"/>
    <w:rsid w:val="003153E8"/>
    <w:rsid w:val="00315B1B"/>
    <w:rsid w:val="00317719"/>
    <w:rsid w:val="00320A2E"/>
    <w:rsid w:val="00321A18"/>
    <w:rsid w:val="00325B03"/>
    <w:rsid w:val="00325D51"/>
    <w:rsid w:val="0032629E"/>
    <w:rsid w:val="003302E9"/>
    <w:rsid w:val="003322DA"/>
    <w:rsid w:val="00332AD0"/>
    <w:rsid w:val="00335414"/>
    <w:rsid w:val="003459F8"/>
    <w:rsid w:val="003614C1"/>
    <w:rsid w:val="0036522E"/>
    <w:rsid w:val="00370163"/>
    <w:rsid w:val="00371350"/>
    <w:rsid w:val="003831CA"/>
    <w:rsid w:val="0038772A"/>
    <w:rsid w:val="00390BFC"/>
    <w:rsid w:val="00395205"/>
    <w:rsid w:val="0039623E"/>
    <w:rsid w:val="0039631B"/>
    <w:rsid w:val="00396F9E"/>
    <w:rsid w:val="00397453"/>
    <w:rsid w:val="003B179F"/>
    <w:rsid w:val="003B348E"/>
    <w:rsid w:val="003B4494"/>
    <w:rsid w:val="003B5BE5"/>
    <w:rsid w:val="003C2125"/>
    <w:rsid w:val="003D29F8"/>
    <w:rsid w:val="003E005A"/>
    <w:rsid w:val="003E3E0B"/>
    <w:rsid w:val="003F1024"/>
    <w:rsid w:val="003F7920"/>
    <w:rsid w:val="004044FE"/>
    <w:rsid w:val="0040632A"/>
    <w:rsid w:val="00406FE3"/>
    <w:rsid w:val="004100D6"/>
    <w:rsid w:val="00414FBF"/>
    <w:rsid w:val="004168C2"/>
    <w:rsid w:val="004205AE"/>
    <w:rsid w:val="00420E14"/>
    <w:rsid w:val="004233DC"/>
    <w:rsid w:val="00423F47"/>
    <w:rsid w:val="00425C7F"/>
    <w:rsid w:val="004266F7"/>
    <w:rsid w:val="004327E5"/>
    <w:rsid w:val="00443689"/>
    <w:rsid w:val="00445459"/>
    <w:rsid w:val="00445FFE"/>
    <w:rsid w:val="00452EF8"/>
    <w:rsid w:val="0045497E"/>
    <w:rsid w:val="004552A3"/>
    <w:rsid w:val="004562D8"/>
    <w:rsid w:val="0046196A"/>
    <w:rsid w:val="004625AB"/>
    <w:rsid w:val="004659F8"/>
    <w:rsid w:val="00472C8E"/>
    <w:rsid w:val="00473337"/>
    <w:rsid w:val="00477A7A"/>
    <w:rsid w:val="0048432E"/>
    <w:rsid w:val="00487081"/>
    <w:rsid w:val="00490043"/>
    <w:rsid w:val="004902A8"/>
    <w:rsid w:val="00493481"/>
    <w:rsid w:val="004A21A1"/>
    <w:rsid w:val="004B1F47"/>
    <w:rsid w:val="004B7DEF"/>
    <w:rsid w:val="004C380D"/>
    <w:rsid w:val="004C402C"/>
    <w:rsid w:val="004D3DAD"/>
    <w:rsid w:val="004D7CF3"/>
    <w:rsid w:val="004D7D72"/>
    <w:rsid w:val="004F291C"/>
    <w:rsid w:val="004F334C"/>
    <w:rsid w:val="005007D1"/>
    <w:rsid w:val="00500A43"/>
    <w:rsid w:val="00501356"/>
    <w:rsid w:val="00501565"/>
    <w:rsid w:val="00501761"/>
    <w:rsid w:val="005027E7"/>
    <w:rsid w:val="0050340A"/>
    <w:rsid w:val="0050425C"/>
    <w:rsid w:val="00504F0D"/>
    <w:rsid w:val="005062D4"/>
    <w:rsid w:val="00506FE7"/>
    <w:rsid w:val="005075CC"/>
    <w:rsid w:val="00507E32"/>
    <w:rsid w:val="0052360C"/>
    <w:rsid w:val="0054181B"/>
    <w:rsid w:val="00542F94"/>
    <w:rsid w:val="00544752"/>
    <w:rsid w:val="005474F8"/>
    <w:rsid w:val="00547BBF"/>
    <w:rsid w:val="00550F52"/>
    <w:rsid w:val="00551979"/>
    <w:rsid w:val="0055440C"/>
    <w:rsid w:val="00554B98"/>
    <w:rsid w:val="00557B09"/>
    <w:rsid w:val="00564DD8"/>
    <w:rsid w:val="005814BC"/>
    <w:rsid w:val="00581DFF"/>
    <w:rsid w:val="00586355"/>
    <w:rsid w:val="005921D8"/>
    <w:rsid w:val="005A3200"/>
    <w:rsid w:val="005A7C20"/>
    <w:rsid w:val="005B5FEA"/>
    <w:rsid w:val="005C14FA"/>
    <w:rsid w:val="005C172B"/>
    <w:rsid w:val="005C4C52"/>
    <w:rsid w:val="005D2A5B"/>
    <w:rsid w:val="005D7A43"/>
    <w:rsid w:val="005E715D"/>
    <w:rsid w:val="005F3FBE"/>
    <w:rsid w:val="005F5003"/>
    <w:rsid w:val="00603509"/>
    <w:rsid w:val="006061D8"/>
    <w:rsid w:val="00610855"/>
    <w:rsid w:val="0061691F"/>
    <w:rsid w:val="00621700"/>
    <w:rsid w:val="006346B7"/>
    <w:rsid w:val="00644B47"/>
    <w:rsid w:val="00647F81"/>
    <w:rsid w:val="00652AAB"/>
    <w:rsid w:val="00660BF7"/>
    <w:rsid w:val="00661CA7"/>
    <w:rsid w:val="00664314"/>
    <w:rsid w:val="00664374"/>
    <w:rsid w:val="006667DA"/>
    <w:rsid w:val="00671CEE"/>
    <w:rsid w:val="00680D03"/>
    <w:rsid w:val="006869EA"/>
    <w:rsid w:val="006916D3"/>
    <w:rsid w:val="006927C9"/>
    <w:rsid w:val="0069755C"/>
    <w:rsid w:val="006A0FD9"/>
    <w:rsid w:val="006A2673"/>
    <w:rsid w:val="006A5ED5"/>
    <w:rsid w:val="006B0212"/>
    <w:rsid w:val="006B418A"/>
    <w:rsid w:val="006C2826"/>
    <w:rsid w:val="006C3072"/>
    <w:rsid w:val="006C485E"/>
    <w:rsid w:val="006D0FAA"/>
    <w:rsid w:val="006D27DC"/>
    <w:rsid w:val="006D3C93"/>
    <w:rsid w:val="006D7712"/>
    <w:rsid w:val="006D7C1D"/>
    <w:rsid w:val="006D7D39"/>
    <w:rsid w:val="006E418E"/>
    <w:rsid w:val="006F19BC"/>
    <w:rsid w:val="006F4280"/>
    <w:rsid w:val="006F604F"/>
    <w:rsid w:val="00712731"/>
    <w:rsid w:val="00715BF1"/>
    <w:rsid w:val="007203F3"/>
    <w:rsid w:val="00720A3B"/>
    <w:rsid w:val="00724CEB"/>
    <w:rsid w:val="007309E5"/>
    <w:rsid w:val="00733F10"/>
    <w:rsid w:val="00742A40"/>
    <w:rsid w:val="00744E2E"/>
    <w:rsid w:val="007466C1"/>
    <w:rsid w:val="00746F7C"/>
    <w:rsid w:val="0075156D"/>
    <w:rsid w:val="007518E9"/>
    <w:rsid w:val="00755166"/>
    <w:rsid w:val="007606B2"/>
    <w:rsid w:val="00771002"/>
    <w:rsid w:val="0077463F"/>
    <w:rsid w:val="00781310"/>
    <w:rsid w:val="00783172"/>
    <w:rsid w:val="0078412C"/>
    <w:rsid w:val="0078638D"/>
    <w:rsid w:val="007923ED"/>
    <w:rsid w:val="00793262"/>
    <w:rsid w:val="00794C64"/>
    <w:rsid w:val="00795C2D"/>
    <w:rsid w:val="007A7AA7"/>
    <w:rsid w:val="007B386E"/>
    <w:rsid w:val="007C4539"/>
    <w:rsid w:val="007C4587"/>
    <w:rsid w:val="007C77C5"/>
    <w:rsid w:val="007D18DD"/>
    <w:rsid w:val="007D2DE1"/>
    <w:rsid w:val="007D597A"/>
    <w:rsid w:val="007D73E5"/>
    <w:rsid w:val="007E1677"/>
    <w:rsid w:val="007E61C6"/>
    <w:rsid w:val="007E6632"/>
    <w:rsid w:val="007F156D"/>
    <w:rsid w:val="007F6060"/>
    <w:rsid w:val="007F77BC"/>
    <w:rsid w:val="00800F27"/>
    <w:rsid w:val="00806911"/>
    <w:rsid w:val="00812A96"/>
    <w:rsid w:val="00821E7C"/>
    <w:rsid w:val="00821F0C"/>
    <w:rsid w:val="00825263"/>
    <w:rsid w:val="00826767"/>
    <w:rsid w:val="00834576"/>
    <w:rsid w:val="0083462F"/>
    <w:rsid w:val="008419EB"/>
    <w:rsid w:val="00841F1F"/>
    <w:rsid w:val="0084332E"/>
    <w:rsid w:val="008435E0"/>
    <w:rsid w:val="00847FAF"/>
    <w:rsid w:val="00851586"/>
    <w:rsid w:val="0085184D"/>
    <w:rsid w:val="008569C7"/>
    <w:rsid w:val="0086272C"/>
    <w:rsid w:val="0086746D"/>
    <w:rsid w:val="00877B01"/>
    <w:rsid w:val="00887B5E"/>
    <w:rsid w:val="008906CE"/>
    <w:rsid w:val="00891240"/>
    <w:rsid w:val="00895281"/>
    <w:rsid w:val="008A06EE"/>
    <w:rsid w:val="008A4E9E"/>
    <w:rsid w:val="008A4EA5"/>
    <w:rsid w:val="008A5649"/>
    <w:rsid w:val="008B0836"/>
    <w:rsid w:val="008B0F77"/>
    <w:rsid w:val="008B5BB8"/>
    <w:rsid w:val="008C14D2"/>
    <w:rsid w:val="008C43D8"/>
    <w:rsid w:val="008C50EA"/>
    <w:rsid w:val="008D0202"/>
    <w:rsid w:val="008D0322"/>
    <w:rsid w:val="008D1731"/>
    <w:rsid w:val="008F3A29"/>
    <w:rsid w:val="008F4B26"/>
    <w:rsid w:val="008F4DCD"/>
    <w:rsid w:val="009002AA"/>
    <w:rsid w:val="0090450B"/>
    <w:rsid w:val="0090457B"/>
    <w:rsid w:val="0090780D"/>
    <w:rsid w:val="009110E4"/>
    <w:rsid w:val="00915317"/>
    <w:rsid w:val="00926240"/>
    <w:rsid w:val="0093315B"/>
    <w:rsid w:val="00936025"/>
    <w:rsid w:val="009405B9"/>
    <w:rsid w:val="009408AB"/>
    <w:rsid w:val="00942108"/>
    <w:rsid w:val="009428B2"/>
    <w:rsid w:val="00944DEA"/>
    <w:rsid w:val="00953BFD"/>
    <w:rsid w:val="00954EC9"/>
    <w:rsid w:val="00984DD2"/>
    <w:rsid w:val="00986C5A"/>
    <w:rsid w:val="00991B78"/>
    <w:rsid w:val="00991E93"/>
    <w:rsid w:val="009A1C3A"/>
    <w:rsid w:val="009B2FB6"/>
    <w:rsid w:val="009B7C29"/>
    <w:rsid w:val="009C3445"/>
    <w:rsid w:val="009C457C"/>
    <w:rsid w:val="009C51DF"/>
    <w:rsid w:val="009D0FF1"/>
    <w:rsid w:val="009D57B1"/>
    <w:rsid w:val="009E21C0"/>
    <w:rsid w:val="009E315D"/>
    <w:rsid w:val="009F2CC0"/>
    <w:rsid w:val="00A03456"/>
    <w:rsid w:val="00A33107"/>
    <w:rsid w:val="00A44C37"/>
    <w:rsid w:val="00A44E02"/>
    <w:rsid w:val="00A463A8"/>
    <w:rsid w:val="00A47424"/>
    <w:rsid w:val="00A508FA"/>
    <w:rsid w:val="00A51435"/>
    <w:rsid w:val="00A52B7D"/>
    <w:rsid w:val="00A53C28"/>
    <w:rsid w:val="00A54D75"/>
    <w:rsid w:val="00A63727"/>
    <w:rsid w:val="00A645D6"/>
    <w:rsid w:val="00A72514"/>
    <w:rsid w:val="00A726B5"/>
    <w:rsid w:val="00A74A13"/>
    <w:rsid w:val="00A81887"/>
    <w:rsid w:val="00A8427C"/>
    <w:rsid w:val="00A93161"/>
    <w:rsid w:val="00A959EE"/>
    <w:rsid w:val="00A9730A"/>
    <w:rsid w:val="00AA1E1B"/>
    <w:rsid w:val="00AA4EE7"/>
    <w:rsid w:val="00AB6CE6"/>
    <w:rsid w:val="00AB6FC6"/>
    <w:rsid w:val="00AC1355"/>
    <w:rsid w:val="00AC2722"/>
    <w:rsid w:val="00AC4757"/>
    <w:rsid w:val="00AC5FE5"/>
    <w:rsid w:val="00AD2946"/>
    <w:rsid w:val="00AD3507"/>
    <w:rsid w:val="00AD7698"/>
    <w:rsid w:val="00AE2A37"/>
    <w:rsid w:val="00AE5D28"/>
    <w:rsid w:val="00AE77B0"/>
    <w:rsid w:val="00AF0D48"/>
    <w:rsid w:val="00AF33FA"/>
    <w:rsid w:val="00B0156B"/>
    <w:rsid w:val="00B03651"/>
    <w:rsid w:val="00B04403"/>
    <w:rsid w:val="00B0594A"/>
    <w:rsid w:val="00B16C3E"/>
    <w:rsid w:val="00B17193"/>
    <w:rsid w:val="00B2355C"/>
    <w:rsid w:val="00B32029"/>
    <w:rsid w:val="00B36F21"/>
    <w:rsid w:val="00B41FF1"/>
    <w:rsid w:val="00B46C4F"/>
    <w:rsid w:val="00B54CD9"/>
    <w:rsid w:val="00B55D43"/>
    <w:rsid w:val="00B66B5E"/>
    <w:rsid w:val="00B717EB"/>
    <w:rsid w:val="00B71917"/>
    <w:rsid w:val="00B73B36"/>
    <w:rsid w:val="00B75ED7"/>
    <w:rsid w:val="00B77A2A"/>
    <w:rsid w:val="00B86246"/>
    <w:rsid w:val="00B91261"/>
    <w:rsid w:val="00B965B6"/>
    <w:rsid w:val="00B97797"/>
    <w:rsid w:val="00B97CC8"/>
    <w:rsid w:val="00BA449F"/>
    <w:rsid w:val="00BA4CDF"/>
    <w:rsid w:val="00BA55FA"/>
    <w:rsid w:val="00BB5935"/>
    <w:rsid w:val="00BC3F36"/>
    <w:rsid w:val="00BC4D5A"/>
    <w:rsid w:val="00BD0650"/>
    <w:rsid w:val="00BD27AF"/>
    <w:rsid w:val="00BD320F"/>
    <w:rsid w:val="00BD3ED6"/>
    <w:rsid w:val="00BD575F"/>
    <w:rsid w:val="00BE3B2A"/>
    <w:rsid w:val="00BE460D"/>
    <w:rsid w:val="00BE5BEA"/>
    <w:rsid w:val="00BF2CEA"/>
    <w:rsid w:val="00BF3A08"/>
    <w:rsid w:val="00BF3D0A"/>
    <w:rsid w:val="00BF54C2"/>
    <w:rsid w:val="00BF6059"/>
    <w:rsid w:val="00C0287D"/>
    <w:rsid w:val="00C10134"/>
    <w:rsid w:val="00C159AC"/>
    <w:rsid w:val="00C216DA"/>
    <w:rsid w:val="00C228D9"/>
    <w:rsid w:val="00C255CC"/>
    <w:rsid w:val="00C26A20"/>
    <w:rsid w:val="00C31261"/>
    <w:rsid w:val="00C32B21"/>
    <w:rsid w:val="00C47C20"/>
    <w:rsid w:val="00C5649F"/>
    <w:rsid w:val="00C57A65"/>
    <w:rsid w:val="00C64C35"/>
    <w:rsid w:val="00C65FF5"/>
    <w:rsid w:val="00C74502"/>
    <w:rsid w:val="00C85C8F"/>
    <w:rsid w:val="00C861D3"/>
    <w:rsid w:val="00C9395C"/>
    <w:rsid w:val="00C956C9"/>
    <w:rsid w:val="00C96601"/>
    <w:rsid w:val="00CA3FD2"/>
    <w:rsid w:val="00CB0466"/>
    <w:rsid w:val="00CB170B"/>
    <w:rsid w:val="00CB312F"/>
    <w:rsid w:val="00CC3CF3"/>
    <w:rsid w:val="00CC6CD9"/>
    <w:rsid w:val="00CD1E5E"/>
    <w:rsid w:val="00CD1FF3"/>
    <w:rsid w:val="00CD5332"/>
    <w:rsid w:val="00CD571B"/>
    <w:rsid w:val="00CD7E30"/>
    <w:rsid w:val="00CE1B7B"/>
    <w:rsid w:val="00CE2054"/>
    <w:rsid w:val="00CE2343"/>
    <w:rsid w:val="00CE6BCA"/>
    <w:rsid w:val="00CF75CC"/>
    <w:rsid w:val="00D005AA"/>
    <w:rsid w:val="00D009F0"/>
    <w:rsid w:val="00D01BA2"/>
    <w:rsid w:val="00D02FE9"/>
    <w:rsid w:val="00D03C6B"/>
    <w:rsid w:val="00D05A76"/>
    <w:rsid w:val="00D05AE4"/>
    <w:rsid w:val="00D063AE"/>
    <w:rsid w:val="00D10146"/>
    <w:rsid w:val="00D11984"/>
    <w:rsid w:val="00D149C0"/>
    <w:rsid w:val="00D16C78"/>
    <w:rsid w:val="00D23E28"/>
    <w:rsid w:val="00D25971"/>
    <w:rsid w:val="00D30E7B"/>
    <w:rsid w:val="00D32791"/>
    <w:rsid w:val="00D41E2E"/>
    <w:rsid w:val="00D42003"/>
    <w:rsid w:val="00D437BE"/>
    <w:rsid w:val="00D475D1"/>
    <w:rsid w:val="00D50116"/>
    <w:rsid w:val="00D52DED"/>
    <w:rsid w:val="00D56081"/>
    <w:rsid w:val="00D56A5F"/>
    <w:rsid w:val="00D630D9"/>
    <w:rsid w:val="00D64694"/>
    <w:rsid w:val="00D670AD"/>
    <w:rsid w:val="00D72C6B"/>
    <w:rsid w:val="00D82F56"/>
    <w:rsid w:val="00D8596F"/>
    <w:rsid w:val="00D96BED"/>
    <w:rsid w:val="00D977FC"/>
    <w:rsid w:val="00D97C1B"/>
    <w:rsid w:val="00DB0D02"/>
    <w:rsid w:val="00DB111F"/>
    <w:rsid w:val="00DB6B3D"/>
    <w:rsid w:val="00DD05EA"/>
    <w:rsid w:val="00DD19E6"/>
    <w:rsid w:val="00DD3EE3"/>
    <w:rsid w:val="00DD5D82"/>
    <w:rsid w:val="00DE1F37"/>
    <w:rsid w:val="00DE33BE"/>
    <w:rsid w:val="00DF60CE"/>
    <w:rsid w:val="00E025DB"/>
    <w:rsid w:val="00E05843"/>
    <w:rsid w:val="00E25781"/>
    <w:rsid w:val="00E270DB"/>
    <w:rsid w:val="00E33640"/>
    <w:rsid w:val="00E45B37"/>
    <w:rsid w:val="00E47907"/>
    <w:rsid w:val="00E47C64"/>
    <w:rsid w:val="00E52426"/>
    <w:rsid w:val="00E6298F"/>
    <w:rsid w:val="00E6493A"/>
    <w:rsid w:val="00E67271"/>
    <w:rsid w:val="00E70E11"/>
    <w:rsid w:val="00E71B2E"/>
    <w:rsid w:val="00E720B5"/>
    <w:rsid w:val="00E73975"/>
    <w:rsid w:val="00E73E59"/>
    <w:rsid w:val="00E751F2"/>
    <w:rsid w:val="00E93ED1"/>
    <w:rsid w:val="00E96989"/>
    <w:rsid w:val="00E97337"/>
    <w:rsid w:val="00EA05E8"/>
    <w:rsid w:val="00EA4D70"/>
    <w:rsid w:val="00EB0405"/>
    <w:rsid w:val="00EB64C1"/>
    <w:rsid w:val="00EB6A0C"/>
    <w:rsid w:val="00EC13B8"/>
    <w:rsid w:val="00EC1A38"/>
    <w:rsid w:val="00EC2B0C"/>
    <w:rsid w:val="00EC395C"/>
    <w:rsid w:val="00EC51E0"/>
    <w:rsid w:val="00ED21B1"/>
    <w:rsid w:val="00ED3420"/>
    <w:rsid w:val="00ED4CF4"/>
    <w:rsid w:val="00ED5F88"/>
    <w:rsid w:val="00EE36F1"/>
    <w:rsid w:val="00EF1CDF"/>
    <w:rsid w:val="00EF60E7"/>
    <w:rsid w:val="00EF7E9E"/>
    <w:rsid w:val="00F01643"/>
    <w:rsid w:val="00F12B75"/>
    <w:rsid w:val="00F12C2F"/>
    <w:rsid w:val="00F27AE5"/>
    <w:rsid w:val="00F31081"/>
    <w:rsid w:val="00F31E81"/>
    <w:rsid w:val="00F3535D"/>
    <w:rsid w:val="00F40AD5"/>
    <w:rsid w:val="00F40E32"/>
    <w:rsid w:val="00F410C3"/>
    <w:rsid w:val="00F53E60"/>
    <w:rsid w:val="00F5440A"/>
    <w:rsid w:val="00F84067"/>
    <w:rsid w:val="00F9260E"/>
    <w:rsid w:val="00F93612"/>
    <w:rsid w:val="00F95A88"/>
    <w:rsid w:val="00FA0DBA"/>
    <w:rsid w:val="00FA1185"/>
    <w:rsid w:val="00FA1F06"/>
    <w:rsid w:val="00FA67F5"/>
    <w:rsid w:val="00FA729B"/>
    <w:rsid w:val="00FB37A5"/>
    <w:rsid w:val="00FB5E80"/>
    <w:rsid w:val="00FC0A84"/>
    <w:rsid w:val="00FC6283"/>
    <w:rsid w:val="00FD3A59"/>
    <w:rsid w:val="00FE396A"/>
    <w:rsid w:val="00FF0F00"/>
    <w:rsid w:val="00FF11CB"/>
    <w:rsid w:val="00FF358D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700"/>
    <w:pPr>
      <w:spacing w:after="0" w:line="240" w:lineRule="auto"/>
    </w:pPr>
    <w:rPr>
      <w:rFonts w:cs="Times New Roman"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621700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5E715D"/>
    <w:rPr>
      <w:rFonts w:ascii="Times New Roman" w:hAnsi="Times New Roman" w:cs="Times New Roman"/>
      <w:sz w:val="2"/>
      <w:lang w:val="en-US" w:eastAsia="x-none"/>
    </w:rPr>
  </w:style>
  <w:style w:type="paragraph" w:styleId="a6">
    <w:name w:val="Body Text"/>
    <w:basedOn w:val="a0"/>
    <w:link w:val="a7"/>
    <w:uiPriority w:val="99"/>
    <w:rsid w:val="00621700"/>
    <w:pPr>
      <w:jc w:val="both"/>
    </w:pPr>
    <w:rPr>
      <w:lang w:val="ru-RU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paragraph" w:styleId="a8">
    <w:name w:val="Body Text Indent"/>
    <w:basedOn w:val="a0"/>
    <w:link w:val="a9"/>
    <w:uiPriority w:val="99"/>
    <w:rsid w:val="00621700"/>
    <w:pPr>
      <w:ind w:firstLine="720"/>
      <w:jc w:val="both"/>
    </w:pPr>
    <w:rPr>
      <w:lang w:val="ru-RU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paragraph" w:customStyle="1" w:styleId="1">
    <w:name w:val="Обычный1"/>
    <w:uiPriority w:val="99"/>
    <w:rsid w:val="0062170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uiPriority w:val="99"/>
    <w:rsid w:val="00160243"/>
    <w:pPr>
      <w:numPr>
        <w:numId w:val="2"/>
      </w:numPr>
    </w:pPr>
  </w:style>
  <w:style w:type="character" w:styleId="aa">
    <w:name w:val="Hyperlink"/>
    <w:basedOn w:val="a1"/>
    <w:uiPriority w:val="99"/>
    <w:rsid w:val="00500A43"/>
    <w:rPr>
      <w:rFonts w:cs="Times New Roman"/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rsid w:val="00E73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5E715D"/>
    <w:rPr>
      <w:rFonts w:ascii="Times New Roman" w:hAnsi="Times New Roman" w:cs="Times New Roman"/>
      <w:sz w:val="2"/>
      <w:lang w:val="en-US" w:eastAsia="x-none"/>
    </w:rPr>
  </w:style>
  <w:style w:type="paragraph" w:styleId="ad">
    <w:name w:val="header"/>
    <w:basedOn w:val="a0"/>
    <w:link w:val="ae"/>
    <w:uiPriority w:val="99"/>
    <w:rsid w:val="00293E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paragraph" w:styleId="af">
    <w:name w:val="footer"/>
    <w:basedOn w:val="a0"/>
    <w:link w:val="af0"/>
    <w:uiPriority w:val="99"/>
    <w:rsid w:val="00293E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table" w:styleId="af1">
    <w:name w:val="Table Grid"/>
    <w:basedOn w:val="a2"/>
    <w:uiPriority w:val="99"/>
    <w:locked/>
    <w:rsid w:val="00BD27A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uiPriority w:val="99"/>
    <w:rsid w:val="00A8427C"/>
    <w:rPr>
      <w:rFonts w:cs="Times New Roman"/>
    </w:rPr>
  </w:style>
  <w:style w:type="character" w:styleId="af3">
    <w:name w:val="Strong"/>
    <w:basedOn w:val="a1"/>
    <w:uiPriority w:val="22"/>
    <w:qFormat/>
    <w:locked/>
    <w:rsid w:val="00477A7A"/>
    <w:rPr>
      <w:rFonts w:cs="Times New Roman"/>
      <w:b/>
      <w:bCs/>
    </w:rPr>
  </w:style>
  <w:style w:type="paragraph" w:customStyle="1" w:styleId="ConsPlusNormal">
    <w:name w:val="ConsPlusNormal"/>
    <w:rsid w:val="00C64C3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4">
    <w:name w:val="подпись"/>
    <w:basedOn w:val="a0"/>
    <w:rsid w:val="005C14FA"/>
    <w:pPr>
      <w:tabs>
        <w:tab w:val="left" w:pos="6237"/>
      </w:tabs>
      <w:spacing w:line="240" w:lineRule="atLeast"/>
      <w:ind w:right="5387"/>
    </w:pPr>
    <w:rPr>
      <w:rFonts w:ascii="Times New Roman" w:hAnsi="Times New Roman"/>
      <w:lang w:val="ru-RU"/>
    </w:rPr>
  </w:style>
  <w:style w:type="paragraph" w:styleId="af5">
    <w:name w:val="List Paragraph"/>
    <w:basedOn w:val="a0"/>
    <w:uiPriority w:val="34"/>
    <w:qFormat/>
    <w:rsid w:val="003B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700"/>
    <w:pPr>
      <w:spacing w:after="0" w:line="240" w:lineRule="auto"/>
    </w:pPr>
    <w:rPr>
      <w:rFonts w:cs="Times New Roman"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621700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5E715D"/>
    <w:rPr>
      <w:rFonts w:ascii="Times New Roman" w:hAnsi="Times New Roman" w:cs="Times New Roman"/>
      <w:sz w:val="2"/>
      <w:lang w:val="en-US" w:eastAsia="x-none"/>
    </w:rPr>
  </w:style>
  <w:style w:type="paragraph" w:styleId="a6">
    <w:name w:val="Body Text"/>
    <w:basedOn w:val="a0"/>
    <w:link w:val="a7"/>
    <w:uiPriority w:val="99"/>
    <w:rsid w:val="00621700"/>
    <w:pPr>
      <w:jc w:val="both"/>
    </w:pPr>
    <w:rPr>
      <w:lang w:val="ru-RU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paragraph" w:styleId="a8">
    <w:name w:val="Body Text Indent"/>
    <w:basedOn w:val="a0"/>
    <w:link w:val="a9"/>
    <w:uiPriority w:val="99"/>
    <w:rsid w:val="00621700"/>
    <w:pPr>
      <w:ind w:firstLine="720"/>
      <w:jc w:val="both"/>
    </w:pPr>
    <w:rPr>
      <w:lang w:val="ru-RU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paragraph" w:customStyle="1" w:styleId="1">
    <w:name w:val="Обычный1"/>
    <w:uiPriority w:val="99"/>
    <w:rsid w:val="0062170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uiPriority w:val="99"/>
    <w:rsid w:val="00160243"/>
    <w:pPr>
      <w:numPr>
        <w:numId w:val="2"/>
      </w:numPr>
    </w:pPr>
  </w:style>
  <w:style w:type="character" w:styleId="aa">
    <w:name w:val="Hyperlink"/>
    <w:basedOn w:val="a1"/>
    <w:uiPriority w:val="99"/>
    <w:rsid w:val="00500A43"/>
    <w:rPr>
      <w:rFonts w:cs="Times New Roman"/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rsid w:val="00E73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5E715D"/>
    <w:rPr>
      <w:rFonts w:ascii="Times New Roman" w:hAnsi="Times New Roman" w:cs="Times New Roman"/>
      <w:sz w:val="2"/>
      <w:lang w:val="en-US" w:eastAsia="x-none"/>
    </w:rPr>
  </w:style>
  <w:style w:type="paragraph" w:styleId="ad">
    <w:name w:val="header"/>
    <w:basedOn w:val="a0"/>
    <w:link w:val="ae"/>
    <w:uiPriority w:val="99"/>
    <w:rsid w:val="00293E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paragraph" w:styleId="af">
    <w:name w:val="footer"/>
    <w:basedOn w:val="a0"/>
    <w:link w:val="af0"/>
    <w:uiPriority w:val="99"/>
    <w:rsid w:val="00293E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5E715D"/>
    <w:rPr>
      <w:rFonts w:cs="Times New Roman"/>
      <w:sz w:val="20"/>
      <w:szCs w:val="20"/>
      <w:lang w:val="en-US" w:eastAsia="x-none"/>
    </w:rPr>
  </w:style>
  <w:style w:type="table" w:styleId="af1">
    <w:name w:val="Table Grid"/>
    <w:basedOn w:val="a2"/>
    <w:uiPriority w:val="99"/>
    <w:locked/>
    <w:rsid w:val="00BD27A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uiPriority w:val="99"/>
    <w:rsid w:val="00A8427C"/>
    <w:rPr>
      <w:rFonts w:cs="Times New Roman"/>
    </w:rPr>
  </w:style>
  <w:style w:type="character" w:styleId="af3">
    <w:name w:val="Strong"/>
    <w:basedOn w:val="a1"/>
    <w:uiPriority w:val="22"/>
    <w:qFormat/>
    <w:locked/>
    <w:rsid w:val="00477A7A"/>
    <w:rPr>
      <w:rFonts w:cs="Times New Roman"/>
      <w:b/>
      <w:bCs/>
    </w:rPr>
  </w:style>
  <w:style w:type="paragraph" w:customStyle="1" w:styleId="ConsPlusNormal">
    <w:name w:val="ConsPlusNormal"/>
    <w:rsid w:val="00C64C3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4">
    <w:name w:val="подпись"/>
    <w:basedOn w:val="a0"/>
    <w:rsid w:val="005C14FA"/>
    <w:pPr>
      <w:tabs>
        <w:tab w:val="left" w:pos="6237"/>
      </w:tabs>
      <w:spacing w:line="240" w:lineRule="atLeast"/>
      <w:ind w:right="5387"/>
    </w:pPr>
    <w:rPr>
      <w:rFonts w:ascii="Times New Roman" w:hAnsi="Times New Roman"/>
      <w:lang w:val="ru-RU"/>
    </w:rPr>
  </w:style>
  <w:style w:type="paragraph" w:styleId="af5">
    <w:name w:val="List Paragraph"/>
    <w:basedOn w:val="a0"/>
    <w:uiPriority w:val="34"/>
    <w:qFormat/>
    <w:rsid w:val="003B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4B08-966E-40B0-B65E-CA5E45C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9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знаю</dc:creator>
  <cp:lastModifiedBy>Попова Eкатерина Cергеевна</cp:lastModifiedBy>
  <cp:revision>2</cp:revision>
  <cp:lastPrinted>2020-02-10T12:40:00Z</cp:lastPrinted>
  <dcterms:created xsi:type="dcterms:W3CDTF">2020-06-02T07:59:00Z</dcterms:created>
  <dcterms:modified xsi:type="dcterms:W3CDTF">2020-06-02T07:59:00Z</dcterms:modified>
</cp:coreProperties>
</file>