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9" w:rsidRPr="003E748A" w:rsidRDefault="00C64139" w:rsidP="00C64139">
      <w:pPr>
        <w:pStyle w:val="a7"/>
        <w:outlineLvl w:val="0"/>
        <w:rPr>
          <w:sz w:val="32"/>
        </w:rPr>
      </w:pPr>
      <w:bookmarkStart w:id="0" w:name="_GoBack"/>
      <w:bookmarkEnd w:id="0"/>
      <w:r w:rsidRPr="003E748A">
        <w:rPr>
          <w:sz w:val="32"/>
        </w:rPr>
        <w:t>Администрация города Липецка</w:t>
      </w:r>
    </w:p>
    <w:p w:rsidR="00C64139" w:rsidRPr="003E748A" w:rsidRDefault="00C64139" w:rsidP="00C64139">
      <w:pPr>
        <w:jc w:val="center"/>
      </w:pPr>
      <w:r w:rsidRPr="003E748A">
        <w:t>Департамент экономического развития</w:t>
      </w: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pStyle w:val="4"/>
        <w:rPr>
          <w:sz w:val="36"/>
        </w:rPr>
      </w:pPr>
      <w:r w:rsidRPr="003E748A">
        <w:rPr>
          <w:sz w:val="36"/>
        </w:rPr>
        <w:t>ПРОГНОЗ</w:t>
      </w:r>
    </w:p>
    <w:p w:rsidR="00C64139" w:rsidRPr="003E748A" w:rsidRDefault="00C64139" w:rsidP="00C64139">
      <w:pPr>
        <w:jc w:val="center"/>
        <w:rPr>
          <w:sz w:val="36"/>
        </w:rPr>
      </w:pPr>
      <w:r w:rsidRPr="003E748A">
        <w:rPr>
          <w:b/>
          <w:sz w:val="36"/>
        </w:rPr>
        <w:t>СОЦИАЛЬНО-ЭКОНОМИЧЕСКОГО РАЗВИТИЯ</w:t>
      </w:r>
    </w:p>
    <w:p w:rsidR="00C64139" w:rsidRPr="003E748A" w:rsidRDefault="00C64139" w:rsidP="00C64139">
      <w:pPr>
        <w:pStyle w:val="4"/>
        <w:rPr>
          <w:sz w:val="36"/>
        </w:rPr>
      </w:pPr>
      <w:r w:rsidRPr="003E748A">
        <w:rPr>
          <w:sz w:val="36"/>
        </w:rPr>
        <w:t>ГОРОДА ЛИПЕЦКА НА 2019 ГОД</w:t>
      </w:r>
    </w:p>
    <w:p w:rsidR="00C64139" w:rsidRPr="003E748A" w:rsidRDefault="00C64139" w:rsidP="00C64139">
      <w:pPr>
        <w:jc w:val="center"/>
      </w:pPr>
      <w:r w:rsidRPr="003E748A">
        <w:rPr>
          <w:b/>
          <w:caps/>
          <w:sz w:val="36"/>
          <w:szCs w:val="36"/>
        </w:rPr>
        <w:t>и на плановый период 2020 и 2021 годов</w:t>
      </w: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jc w:val="center"/>
      </w:pPr>
    </w:p>
    <w:p w:rsidR="00C64139" w:rsidRPr="003E748A" w:rsidRDefault="00C64139" w:rsidP="00C64139">
      <w:pPr>
        <w:pStyle w:val="4"/>
        <w:keepNext w:val="0"/>
        <w:rPr>
          <w:b w:val="0"/>
        </w:rPr>
      </w:pPr>
      <w:r w:rsidRPr="003E748A">
        <w:rPr>
          <w:b w:val="0"/>
        </w:rPr>
        <w:t>Липецк</w:t>
      </w:r>
    </w:p>
    <w:p w:rsidR="00C64139" w:rsidRPr="008407DE" w:rsidRDefault="00C64139" w:rsidP="00C64139">
      <w:pPr>
        <w:pStyle w:val="4"/>
        <w:keepNext w:val="0"/>
        <w:rPr>
          <w:b w:val="0"/>
        </w:rPr>
      </w:pPr>
      <w:r w:rsidRPr="00E26D0B">
        <w:rPr>
          <w:b w:val="0"/>
        </w:rPr>
        <w:t>октябрь,</w:t>
      </w:r>
      <w:r w:rsidRPr="003E748A">
        <w:rPr>
          <w:b w:val="0"/>
        </w:rPr>
        <w:t xml:space="preserve"> 2018</w:t>
      </w:r>
    </w:p>
    <w:p w:rsidR="00C64139" w:rsidRDefault="00C64139" w:rsidP="00C64139">
      <w:pPr>
        <w:pStyle w:val="4"/>
        <w:keepNext w:val="0"/>
      </w:pPr>
    </w:p>
    <w:p w:rsidR="00C64139" w:rsidRPr="00783175" w:rsidRDefault="00C64139" w:rsidP="00C64139">
      <w:pPr>
        <w:pStyle w:val="4"/>
        <w:keepNext w:val="0"/>
      </w:pPr>
      <w:r w:rsidRPr="00783175">
        <w:t>СОДЕРЖАНИЕ</w:t>
      </w:r>
    </w:p>
    <w:p w:rsidR="00C64139" w:rsidRPr="00783175" w:rsidRDefault="00C64139" w:rsidP="00C64139"/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31"/>
      </w:tblGrid>
      <w:tr w:rsidR="00C64139" w:rsidRPr="00783175" w:rsidTr="00783ABD">
        <w:tc>
          <w:tcPr>
            <w:tcW w:w="9606" w:type="dxa"/>
          </w:tcPr>
          <w:p w:rsidR="00C64139" w:rsidRPr="00783175" w:rsidRDefault="00C64139" w:rsidP="00783ABD">
            <w:r w:rsidRPr="00783175">
              <w:t>Введение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</w:pPr>
            <w:r w:rsidRPr="00783175">
              <w:t>3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>
            <w:pPr>
              <w:jc w:val="both"/>
            </w:pPr>
          </w:p>
          <w:p w:rsidR="00C64139" w:rsidRPr="00783175" w:rsidRDefault="00C64139" w:rsidP="00783ABD">
            <w:pPr>
              <w:jc w:val="both"/>
            </w:pPr>
            <w:r w:rsidRPr="00783175">
              <w:t>1. Основные макроэкономические показатели прогноза социально-экономического развития города Липецка на 2019 год и на плановый период 2020 и 2021 годов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</w:pPr>
          </w:p>
          <w:p w:rsidR="00C64139" w:rsidRPr="00783175" w:rsidRDefault="00C64139" w:rsidP="00783ABD">
            <w:pPr>
              <w:jc w:val="center"/>
            </w:pPr>
          </w:p>
          <w:p w:rsidR="00C64139" w:rsidRPr="00783175" w:rsidRDefault="00C64139" w:rsidP="00783ABD">
            <w:pPr>
              <w:jc w:val="center"/>
            </w:pPr>
            <w:r w:rsidRPr="00783175">
              <w:t>3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2. Демографическая ситуация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5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3. Занятость и доходы населения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7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4. Потребительский рынок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10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5. Промышленность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11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6. Инвестиции и строительство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1</w:t>
            </w:r>
            <w:r>
              <w:t>6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7. Малое и среднее предпринимательство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1</w:t>
            </w:r>
            <w:r>
              <w:t>9</w:t>
            </w:r>
          </w:p>
        </w:tc>
      </w:tr>
      <w:tr w:rsidR="00C64139" w:rsidRPr="00783175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8. Финансы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Pr="00783175" w:rsidRDefault="00C64139" w:rsidP="00783ABD">
            <w:pPr>
              <w:jc w:val="center"/>
            </w:pPr>
            <w:r w:rsidRPr="00783175">
              <w:t>2</w:t>
            </w:r>
            <w:r>
              <w:t>1</w:t>
            </w:r>
          </w:p>
        </w:tc>
      </w:tr>
      <w:tr w:rsidR="00C64139" w:rsidTr="00783ABD">
        <w:tc>
          <w:tcPr>
            <w:tcW w:w="9606" w:type="dxa"/>
          </w:tcPr>
          <w:p w:rsidR="00C64139" w:rsidRPr="00783175" w:rsidRDefault="00C64139" w:rsidP="00783ABD"/>
          <w:p w:rsidR="00C64139" w:rsidRPr="00783175" w:rsidRDefault="00C64139" w:rsidP="00783ABD">
            <w:r w:rsidRPr="00783175">
              <w:t>9. Муниципальное имущество</w:t>
            </w:r>
          </w:p>
        </w:tc>
        <w:tc>
          <w:tcPr>
            <w:tcW w:w="531" w:type="dxa"/>
          </w:tcPr>
          <w:p w:rsidR="00C64139" w:rsidRPr="00783175" w:rsidRDefault="00C64139" w:rsidP="00783ABD">
            <w:pPr>
              <w:jc w:val="center"/>
              <w:rPr>
                <w:lang w:val="en-US"/>
              </w:rPr>
            </w:pPr>
          </w:p>
          <w:p w:rsidR="00C64139" w:rsidRDefault="00C64139" w:rsidP="00783ABD">
            <w:pPr>
              <w:jc w:val="center"/>
            </w:pPr>
            <w:r w:rsidRPr="00783175">
              <w:t>2</w:t>
            </w:r>
            <w:r>
              <w:t>3</w:t>
            </w:r>
          </w:p>
        </w:tc>
      </w:tr>
    </w:tbl>
    <w:p w:rsidR="00C64139" w:rsidRPr="00156080" w:rsidRDefault="00C64139" w:rsidP="00C64139"/>
    <w:p w:rsidR="00C64139" w:rsidRPr="00156080" w:rsidRDefault="00C64139" w:rsidP="00C64139"/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jc w:val="both"/>
      </w:pPr>
    </w:p>
    <w:p w:rsidR="00C64139" w:rsidRDefault="00C64139" w:rsidP="00C64139">
      <w:pPr>
        <w:pStyle w:val="4"/>
        <w:keepNext w:val="0"/>
        <w:jc w:val="both"/>
        <w:rPr>
          <w:b w:val="0"/>
        </w:rPr>
      </w:pPr>
    </w:p>
    <w:p w:rsidR="00C64139" w:rsidRDefault="00C64139" w:rsidP="00C64139">
      <w:pPr>
        <w:pStyle w:val="4"/>
        <w:keepNext w:val="0"/>
        <w:jc w:val="both"/>
        <w:rPr>
          <w:b w:val="0"/>
        </w:rPr>
      </w:pPr>
    </w:p>
    <w:p w:rsidR="00C64139" w:rsidRDefault="00C64139" w:rsidP="00C64139">
      <w:pPr>
        <w:pStyle w:val="4"/>
        <w:keepNext w:val="0"/>
      </w:pPr>
    </w:p>
    <w:p w:rsidR="00C64139" w:rsidRDefault="00C64139" w:rsidP="00C64139">
      <w:pPr>
        <w:pStyle w:val="4"/>
        <w:keepNext w:val="0"/>
        <w:rPr>
          <w:highlight w:val="yellow"/>
        </w:rPr>
      </w:pPr>
    </w:p>
    <w:p w:rsidR="00C64139" w:rsidRDefault="00C64139" w:rsidP="00C64139">
      <w:pPr>
        <w:pStyle w:val="4"/>
        <w:keepNext w:val="0"/>
        <w:rPr>
          <w:highlight w:val="yellow"/>
        </w:rPr>
      </w:pPr>
    </w:p>
    <w:p w:rsidR="00C64139" w:rsidRPr="008D3A2C" w:rsidRDefault="00C64139" w:rsidP="00C64139">
      <w:pPr>
        <w:pStyle w:val="4"/>
        <w:keepNext w:val="0"/>
      </w:pPr>
      <w:r w:rsidRPr="008D3A2C">
        <w:t>ВВЕДЕНИЕ</w:t>
      </w:r>
    </w:p>
    <w:p w:rsidR="00C64139" w:rsidRPr="008D3A2C" w:rsidRDefault="00C64139" w:rsidP="00C64139"/>
    <w:p w:rsidR="00C64139" w:rsidRPr="008D3A2C" w:rsidRDefault="00C64139" w:rsidP="00C64139">
      <w:pPr>
        <w:ind w:firstLine="709"/>
        <w:jc w:val="both"/>
        <w:outlineLvl w:val="0"/>
      </w:pPr>
      <w:r w:rsidRPr="008D3A2C">
        <w:t>Прогноз социально-экономического развития города Липецка на 2019 год и на плановый период 2020 и 2021 годов (далее – «среднесрочный прогноз») разработан в соответствии с Порядком разработки и корректировки Прогноза социально-экономического развития города Липецка на среднесрочный период, утвержденным постановлением администрации города Липецка от 20.02.2017            № 206, изменениями, внесенными в Порядок разработки и корректировки Прогноза социально-экономического развития города Липецка на среднесрочный период, утвержденными постановлением администрации города Липецка от 29.12.2017 № 2624.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  <w:outlineLvl w:val="0"/>
      </w:pPr>
      <w:r w:rsidRPr="008D3A2C">
        <w:t xml:space="preserve">Исходной базой для разработки среднесрочного прогноза являются </w:t>
      </w:r>
      <w:r w:rsidRPr="008D3A2C">
        <w:rPr>
          <w:bCs/>
          <w:color w:val="000000"/>
          <w:szCs w:val="28"/>
        </w:rPr>
        <w:t>указ Президента РФ от 07.05.2018 № 204 «О национальных целях и стратегических задачах развития Российской Федерации на период до 2024 года</w:t>
      </w:r>
      <w:r w:rsidRPr="00E26D0B">
        <w:rPr>
          <w:bCs/>
          <w:color w:val="000000"/>
          <w:szCs w:val="28"/>
        </w:rPr>
        <w:t>»</w:t>
      </w:r>
      <w:r w:rsidRPr="00E26D0B">
        <w:rPr>
          <w:color w:val="000000"/>
          <w:szCs w:val="28"/>
        </w:rPr>
        <w:t xml:space="preserve">; основные показатели и параметры </w:t>
      </w:r>
      <w:r w:rsidRPr="00E26D0B">
        <w:rPr>
          <w:szCs w:val="28"/>
        </w:rPr>
        <w:t xml:space="preserve">прогноза социально-экономического развития Российской Федерации и Липецкой области на 2019 год и на плановый период 2020 и 2021 годов; </w:t>
      </w:r>
      <w:r w:rsidRPr="00E26D0B">
        <w:t xml:space="preserve">данные территориального органа Федеральной службы государственной статистики по Липецкой области за 2017 год и январь-август 2018 года; </w:t>
      </w:r>
      <w:r w:rsidRPr="00E26D0B">
        <w:rPr>
          <w:color w:val="000000"/>
          <w:szCs w:val="28"/>
        </w:rPr>
        <w:t>Стратегия социально-экономического развития города Липецка до 2035 года.</w:t>
      </w:r>
    </w:p>
    <w:p w:rsidR="00C64139" w:rsidRPr="008D3A2C" w:rsidRDefault="00C64139" w:rsidP="00C64139">
      <w:pPr>
        <w:tabs>
          <w:tab w:val="left" w:pos="709"/>
        </w:tabs>
        <w:ind w:firstLine="709"/>
        <w:jc w:val="both"/>
        <w:outlineLvl w:val="0"/>
        <w:rPr>
          <w:color w:val="000000"/>
          <w:szCs w:val="28"/>
        </w:rPr>
      </w:pPr>
      <w:r w:rsidRPr="00E26D0B">
        <w:t xml:space="preserve">Среднесрочный прогноз базируется на </w:t>
      </w:r>
      <w:r w:rsidRPr="00E26D0B">
        <w:rPr>
          <w:szCs w:val="28"/>
        </w:rPr>
        <w:t xml:space="preserve">сценарных условиях функционирования экономики Российской Федерации на 2019 год и на плановый период 2020 и 2021 годов; </w:t>
      </w:r>
      <w:r w:rsidRPr="00E26D0B">
        <w:rPr>
          <w:color w:val="000000"/>
          <w:szCs w:val="28"/>
        </w:rPr>
        <w:t xml:space="preserve">данных, представленных отраслевыми (функциональными) органами администрации города Липецка; результатах мониторинга финансово-хозяйственной деятельности крупных и средних организаций города Липецка за 2017 год, </w:t>
      </w:r>
      <w:r w:rsidRPr="00E26D0B">
        <w:t>январь-август 2018 года</w:t>
      </w:r>
      <w:r w:rsidRPr="00E26D0B">
        <w:rPr>
          <w:color w:val="000000"/>
          <w:szCs w:val="28"/>
        </w:rPr>
        <w:t>.</w:t>
      </w:r>
    </w:p>
    <w:p w:rsidR="00C64139" w:rsidRDefault="00C64139" w:rsidP="00C64139">
      <w:pPr>
        <w:ind w:firstLine="709"/>
        <w:jc w:val="both"/>
        <w:rPr>
          <w:rStyle w:val="extended-textfull"/>
        </w:rPr>
      </w:pPr>
      <w:r w:rsidRPr="008D3A2C">
        <w:rPr>
          <w:szCs w:val="28"/>
        </w:rPr>
        <w:t xml:space="preserve">Предлагаемый прогноз отражает развитие экономики города в условиях реализации </w:t>
      </w:r>
      <w:r w:rsidRPr="008D3A2C">
        <w:rPr>
          <w:bCs/>
          <w:szCs w:val="28"/>
        </w:rPr>
        <w:t xml:space="preserve">активной региональной и муниципальной политики, направленной на улучшение инвестиционного климата, </w:t>
      </w:r>
      <w:r w:rsidRPr="008D3A2C">
        <w:t xml:space="preserve">развитие конкуренции, </w:t>
      </w:r>
      <w:r w:rsidRPr="008D3A2C">
        <w:rPr>
          <w:rStyle w:val="extended-textfull"/>
        </w:rPr>
        <w:t xml:space="preserve">поддержание условий для стабильного экономического и социального </w:t>
      </w:r>
      <w:r w:rsidRPr="008D3A2C">
        <w:rPr>
          <w:rStyle w:val="extended-textfull"/>
          <w:bCs/>
        </w:rPr>
        <w:t>развития</w:t>
      </w:r>
      <w:r w:rsidRPr="008D3A2C">
        <w:rPr>
          <w:rStyle w:val="extended-textfull"/>
        </w:rPr>
        <w:t xml:space="preserve"> городской экономики.</w:t>
      </w:r>
    </w:p>
    <w:p w:rsidR="00C64139" w:rsidRPr="00477550" w:rsidRDefault="00C64139" w:rsidP="00C64139">
      <w:pPr>
        <w:ind w:left="360"/>
        <w:jc w:val="center"/>
        <w:outlineLvl w:val="0"/>
        <w:rPr>
          <w:b/>
        </w:rPr>
      </w:pPr>
    </w:p>
    <w:p w:rsidR="00163BB9" w:rsidRPr="00477550" w:rsidRDefault="00163BB9" w:rsidP="00C64139">
      <w:pPr>
        <w:ind w:left="360"/>
        <w:jc w:val="center"/>
        <w:outlineLvl w:val="0"/>
        <w:rPr>
          <w:b/>
        </w:rPr>
      </w:pPr>
    </w:p>
    <w:p w:rsidR="00C64139" w:rsidRPr="008D3A2C" w:rsidRDefault="00C64139" w:rsidP="00C64139">
      <w:pPr>
        <w:ind w:left="360"/>
        <w:jc w:val="center"/>
        <w:outlineLvl w:val="0"/>
        <w:rPr>
          <w:b/>
        </w:rPr>
      </w:pPr>
      <w:r w:rsidRPr="008D3A2C">
        <w:rPr>
          <w:b/>
        </w:rPr>
        <w:t>1. ОСНОВНЫЕ МАКРОЭКОНОМИЧЕСКИЕ ПОКАЗАТЕЛИ</w:t>
      </w:r>
    </w:p>
    <w:p w:rsidR="00C64139" w:rsidRPr="008D3A2C" w:rsidRDefault="00C64139" w:rsidP="00C64139">
      <w:pPr>
        <w:ind w:left="360"/>
        <w:jc w:val="center"/>
        <w:outlineLvl w:val="0"/>
        <w:rPr>
          <w:b/>
        </w:rPr>
      </w:pPr>
      <w:r w:rsidRPr="008D3A2C">
        <w:rPr>
          <w:b/>
        </w:rPr>
        <w:t xml:space="preserve">ПРОГНОЗА СОЦИАЛЬНО-ЭКОНОМИЧЕСКОГО РАЗВИТИЯ ГОРОДА ЛИПЕЦКА НА 2019 ГОД И НА ПЛАНОВЫЙ ПЕРИОД </w:t>
      </w:r>
    </w:p>
    <w:p w:rsidR="00C64139" w:rsidRPr="008D3A2C" w:rsidRDefault="00C64139" w:rsidP="00C64139">
      <w:pPr>
        <w:ind w:left="360"/>
        <w:jc w:val="center"/>
        <w:outlineLvl w:val="0"/>
        <w:rPr>
          <w:b/>
        </w:rPr>
      </w:pPr>
      <w:r w:rsidRPr="008D3A2C">
        <w:rPr>
          <w:b/>
        </w:rPr>
        <w:t>2020 И 2021 ГОДОВ</w:t>
      </w:r>
    </w:p>
    <w:p w:rsidR="00C64139" w:rsidRPr="008D3A2C" w:rsidRDefault="00C64139" w:rsidP="00C64139">
      <w:pPr>
        <w:ind w:left="360"/>
        <w:jc w:val="center"/>
        <w:outlineLvl w:val="0"/>
        <w:rPr>
          <w:b/>
        </w:rPr>
      </w:pPr>
    </w:p>
    <w:p w:rsidR="00C64139" w:rsidRPr="008D3A2C" w:rsidRDefault="00C64139" w:rsidP="00C64139">
      <w:pPr>
        <w:jc w:val="both"/>
        <w:rPr>
          <w:szCs w:val="28"/>
        </w:rPr>
      </w:pPr>
      <w:r w:rsidRPr="008D3A2C">
        <w:rPr>
          <w:szCs w:val="28"/>
        </w:rPr>
        <w:tab/>
        <w:t>Текущее состояние экономики указывает на эффективность принятых антикризисных мер и стабилизацию социально-экономического развития города. Динамика макроэкономических показателей по отношению к прошлому году имеет положительные значения.</w:t>
      </w:r>
    </w:p>
    <w:p w:rsidR="00C64139" w:rsidRPr="008D3A2C" w:rsidRDefault="00C64139" w:rsidP="00C64139">
      <w:pPr>
        <w:ind w:firstLine="720"/>
        <w:jc w:val="both"/>
      </w:pPr>
      <w:r w:rsidRPr="008D3A2C">
        <w:t>Сложившаяся ситуация позволяет прогнозировать положительные тенденции на 2019 год и на плановый период 2020 и 2021 годов.</w:t>
      </w:r>
    </w:p>
    <w:p w:rsidR="00C64139" w:rsidRPr="008D3A2C" w:rsidRDefault="00C64139" w:rsidP="00C64139">
      <w:pPr>
        <w:ind w:firstLine="720"/>
        <w:jc w:val="both"/>
      </w:pPr>
      <w:r w:rsidRPr="008D3A2C">
        <w:t>Прогнозом определена следующая динамика показателей социально-экономического развития города в 2019 году к 2018 году:</w:t>
      </w:r>
    </w:p>
    <w:p w:rsidR="00C64139" w:rsidRPr="008D3A2C" w:rsidRDefault="00C64139" w:rsidP="00C64139">
      <w:pPr>
        <w:spacing w:after="60"/>
        <w:ind w:left="360"/>
      </w:pPr>
      <w:r w:rsidRPr="008D3A2C">
        <w:t>- объем отгруженных товаров собственного</w:t>
      </w:r>
    </w:p>
    <w:p w:rsidR="00C64139" w:rsidRPr="008D3A2C" w:rsidRDefault="00C64139" w:rsidP="00C64139">
      <w:pPr>
        <w:spacing w:after="60"/>
        <w:ind w:left="436"/>
      </w:pPr>
      <w:r w:rsidRPr="008D3A2C">
        <w:t>производства, выполненных работ и услуг,</w:t>
      </w:r>
    </w:p>
    <w:p w:rsidR="00C64139" w:rsidRPr="00E26D0B" w:rsidRDefault="00C64139" w:rsidP="00C64139">
      <w:pPr>
        <w:spacing w:after="60"/>
        <w:ind w:left="436"/>
      </w:pPr>
      <w:r w:rsidRPr="00E26D0B">
        <w:t>по видам деятельности, относящимся</w:t>
      </w:r>
    </w:p>
    <w:p w:rsidR="00C64139" w:rsidRPr="00E26D0B" w:rsidRDefault="00C64139" w:rsidP="00C64139">
      <w:pPr>
        <w:spacing w:after="60"/>
        <w:ind w:left="436"/>
        <w:rPr>
          <w:color w:val="000000"/>
        </w:rPr>
      </w:pPr>
      <w:r w:rsidRPr="00E26D0B">
        <w:rPr>
          <w:color w:val="000000"/>
        </w:rPr>
        <w:t>к промышленному производству</w:t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  <w:t>106,5%</w:t>
      </w:r>
    </w:p>
    <w:p w:rsidR="00C64139" w:rsidRPr="00E26D0B" w:rsidRDefault="00C64139" w:rsidP="00C64139">
      <w:pPr>
        <w:spacing w:after="60"/>
        <w:ind w:left="436"/>
        <w:rPr>
          <w:color w:val="000000"/>
        </w:rPr>
      </w:pPr>
      <w:r w:rsidRPr="00E26D0B">
        <w:rPr>
          <w:color w:val="000000"/>
        </w:rPr>
        <w:t>- инвестиции в основной капитал</w:t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  <w:t>102,0%</w:t>
      </w:r>
    </w:p>
    <w:p w:rsidR="00C64139" w:rsidRPr="00E26D0B" w:rsidRDefault="00C64139" w:rsidP="00C64139">
      <w:pPr>
        <w:spacing w:after="60"/>
        <w:ind w:left="436"/>
        <w:rPr>
          <w:color w:val="000000"/>
        </w:rPr>
      </w:pPr>
      <w:r w:rsidRPr="00E26D0B">
        <w:rPr>
          <w:color w:val="000000"/>
        </w:rPr>
        <w:t>(в сопоставимых ценах)</w:t>
      </w:r>
    </w:p>
    <w:p w:rsidR="00C64139" w:rsidRPr="00E26D0B" w:rsidRDefault="00C64139" w:rsidP="00C64139">
      <w:pPr>
        <w:spacing w:after="60"/>
        <w:ind w:left="360"/>
        <w:rPr>
          <w:color w:val="000000"/>
        </w:rPr>
      </w:pPr>
      <w:r w:rsidRPr="00E26D0B">
        <w:rPr>
          <w:color w:val="000000"/>
        </w:rPr>
        <w:t>- оборот розничной торговли</w:t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  <w:t>104,0%</w:t>
      </w:r>
    </w:p>
    <w:p w:rsidR="00C64139" w:rsidRPr="00E26D0B" w:rsidRDefault="00C64139" w:rsidP="00C64139">
      <w:pPr>
        <w:spacing w:after="60"/>
        <w:ind w:left="360"/>
        <w:rPr>
          <w:color w:val="000000"/>
        </w:rPr>
      </w:pPr>
      <w:r w:rsidRPr="00E26D0B">
        <w:rPr>
          <w:color w:val="000000"/>
        </w:rPr>
        <w:t>- сальдированный финансовый результат</w:t>
      </w:r>
      <w:r w:rsidRPr="00E26D0B">
        <w:rPr>
          <w:color w:val="000000"/>
        </w:rPr>
        <w:tab/>
      </w:r>
      <w:r w:rsidRPr="00E26D0B">
        <w:rPr>
          <w:color w:val="000000"/>
        </w:rPr>
        <w:tab/>
      </w:r>
      <w:r w:rsidRPr="00E26D0B">
        <w:rPr>
          <w:color w:val="000000"/>
        </w:rPr>
        <w:tab/>
        <w:t>105,7%</w:t>
      </w:r>
    </w:p>
    <w:p w:rsidR="00C64139" w:rsidRPr="00E26D0B" w:rsidRDefault="00C64139" w:rsidP="00C64139">
      <w:pPr>
        <w:spacing w:after="60"/>
        <w:ind w:left="360"/>
        <w:rPr>
          <w:color w:val="000000"/>
        </w:rPr>
      </w:pPr>
      <w:r w:rsidRPr="00E26D0B">
        <w:rPr>
          <w:color w:val="000000"/>
        </w:rPr>
        <w:t>- фонд начисленной заработной платы</w:t>
      </w:r>
      <w:r w:rsidRPr="00E26D0B">
        <w:rPr>
          <w:color w:val="000000"/>
        </w:rPr>
        <w:tab/>
      </w:r>
      <w:r w:rsidRPr="00E26D0B">
        <w:rPr>
          <w:color w:val="000000"/>
        </w:rPr>
        <w:tab/>
        <w:t xml:space="preserve">          109,5%</w:t>
      </w:r>
    </w:p>
    <w:p w:rsidR="00C64139" w:rsidRPr="00E26D0B" w:rsidRDefault="00C64139" w:rsidP="00C64139">
      <w:pPr>
        <w:spacing w:after="60"/>
        <w:ind w:left="360"/>
        <w:rPr>
          <w:color w:val="000000"/>
        </w:rPr>
      </w:pPr>
      <w:r w:rsidRPr="00E26D0B">
        <w:rPr>
          <w:color w:val="000000"/>
        </w:rPr>
        <w:t>- индекс потребительских цен                                             104,1%</w:t>
      </w:r>
    </w:p>
    <w:p w:rsidR="00C64139" w:rsidRPr="00E26D0B" w:rsidRDefault="00C64139" w:rsidP="00C64139">
      <w:pPr>
        <w:tabs>
          <w:tab w:val="left" w:pos="709"/>
        </w:tabs>
        <w:jc w:val="right"/>
        <w:outlineLvl w:val="0"/>
      </w:pPr>
    </w:p>
    <w:p w:rsidR="00C64139" w:rsidRPr="00E26D0B" w:rsidRDefault="00C64139" w:rsidP="00C64139">
      <w:pPr>
        <w:tabs>
          <w:tab w:val="left" w:pos="709"/>
        </w:tabs>
        <w:jc w:val="right"/>
        <w:outlineLvl w:val="0"/>
      </w:pPr>
    </w:p>
    <w:p w:rsidR="00C64139" w:rsidRPr="00E26D0B" w:rsidRDefault="00C64139" w:rsidP="00C64139">
      <w:pPr>
        <w:jc w:val="right"/>
        <w:outlineLvl w:val="0"/>
      </w:pPr>
      <w:r w:rsidRPr="00E26D0B">
        <w:t>Таблица 1.1</w:t>
      </w:r>
    </w:p>
    <w:p w:rsidR="00C64139" w:rsidRPr="00E26D0B" w:rsidRDefault="00C64139" w:rsidP="00C64139">
      <w:pPr>
        <w:pStyle w:val="aff"/>
      </w:pPr>
    </w:p>
    <w:p w:rsidR="00C64139" w:rsidRPr="00E26D0B" w:rsidRDefault="00C64139" w:rsidP="00C64139">
      <w:pPr>
        <w:pStyle w:val="1"/>
        <w:jc w:val="center"/>
        <w:rPr>
          <w:b/>
        </w:rPr>
      </w:pPr>
      <w:r w:rsidRPr="00E26D0B">
        <w:rPr>
          <w:b/>
        </w:rPr>
        <w:t>Основные макроэкономические показатели</w:t>
      </w:r>
    </w:p>
    <w:p w:rsidR="00C64139" w:rsidRPr="00E26D0B" w:rsidRDefault="00C64139" w:rsidP="00C64139">
      <w:pPr>
        <w:pStyle w:val="1"/>
        <w:jc w:val="center"/>
        <w:rPr>
          <w:b/>
        </w:rPr>
      </w:pPr>
      <w:r w:rsidRPr="00E26D0B">
        <w:rPr>
          <w:b/>
        </w:rPr>
        <w:t>социально-экономического развития города Липецка</w:t>
      </w:r>
    </w:p>
    <w:p w:rsidR="00C64139" w:rsidRPr="00E26D0B" w:rsidRDefault="00C64139" w:rsidP="00C64139">
      <w:pPr>
        <w:pStyle w:val="1"/>
        <w:jc w:val="center"/>
        <w:rPr>
          <w:b/>
        </w:rPr>
      </w:pPr>
      <w:r w:rsidRPr="00E26D0B">
        <w:rPr>
          <w:b/>
        </w:rPr>
        <w:t xml:space="preserve"> на 2019 год и на плановый период 2020 и 2021 годов</w:t>
      </w:r>
    </w:p>
    <w:p w:rsidR="00C64139" w:rsidRPr="00E26D0B" w:rsidRDefault="00C64139" w:rsidP="00C64139">
      <w:pPr>
        <w:pStyle w:val="22"/>
        <w:jc w:val="right"/>
        <w:rPr>
          <w:sz w:val="20"/>
        </w:rPr>
      </w:pPr>
    </w:p>
    <w:p w:rsidR="00C64139" w:rsidRPr="00E26D0B" w:rsidRDefault="00C64139" w:rsidP="00C64139">
      <w:pPr>
        <w:pStyle w:val="22"/>
        <w:jc w:val="right"/>
        <w:rPr>
          <w:sz w:val="20"/>
        </w:rPr>
      </w:pPr>
      <w:r w:rsidRPr="00E26D0B">
        <w:rPr>
          <w:sz w:val="20"/>
        </w:rPr>
        <w:t>Стоимостные показатели -</w:t>
      </w:r>
    </w:p>
    <w:p w:rsidR="00C64139" w:rsidRPr="00E26D0B" w:rsidRDefault="00C64139" w:rsidP="00C64139">
      <w:pPr>
        <w:pStyle w:val="22"/>
        <w:jc w:val="right"/>
        <w:rPr>
          <w:sz w:val="20"/>
        </w:rPr>
      </w:pPr>
      <w:r w:rsidRPr="00E26D0B">
        <w:rPr>
          <w:sz w:val="20"/>
        </w:rPr>
        <w:t>в ценах соответствующих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07"/>
        <w:gridCol w:w="1486"/>
        <w:gridCol w:w="1609"/>
        <w:gridCol w:w="1243"/>
        <w:gridCol w:w="1703"/>
      </w:tblGrid>
      <w:tr w:rsidR="00C64139" w:rsidRPr="00E26D0B" w:rsidTr="00783ABD">
        <w:trPr>
          <w:trHeight w:val="62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E26D0B">
              <w:rPr>
                <w:b/>
                <w:sz w:val="22"/>
                <w:szCs w:val="22"/>
              </w:rPr>
              <w:t xml:space="preserve">2017 год 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510245,5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561270,0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597752,6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633617,8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668466,7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114,8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105,5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Объем инвестиций в основной капитал*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31822,7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33919,8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36120,5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38353,5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40685,4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 xml:space="preserve">в % к предыдущему году (в сопоставимых </w:t>
            </w:r>
          </w:p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ценах)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Индекс-дефлятор капитальных вложений к предыдущему году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Ввод в действие жилых домов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565192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401134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409157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417340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425687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Оборот розничной торговли*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55960,4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58198,8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60526,8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62947,9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65465,8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509735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510978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511987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512754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512828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100,015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Среднесписочная численность работающих*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133505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133639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133761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100,0019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Фонд начисленной заработной платы*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57962,1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64917,6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71084,7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77837,8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85232,4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Среднемесячная заработная плата 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36179,7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40480,8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44295,5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48493,9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53099,8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>Сальдированный финансовый результат (прибыль-убыток)*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137566,8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141968,9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150061,2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159064,8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168449,6</w:t>
            </w:r>
          </w:p>
        </w:tc>
      </w:tr>
      <w:tr w:rsidR="00C64139" w:rsidRPr="00E26D0B" w:rsidTr="00783AB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240,9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105,9</w:t>
            </w:r>
          </w:p>
        </w:tc>
      </w:tr>
    </w:tbl>
    <w:p w:rsidR="00C64139" w:rsidRPr="00E26D0B" w:rsidRDefault="00C64139" w:rsidP="00C64139">
      <w:pPr>
        <w:rPr>
          <w:color w:val="000000"/>
          <w:sz w:val="20"/>
        </w:rPr>
      </w:pPr>
    </w:p>
    <w:p w:rsidR="00C64139" w:rsidRPr="00E26D0B" w:rsidRDefault="00C64139" w:rsidP="00C64139">
      <w:pPr>
        <w:rPr>
          <w:color w:val="000000"/>
          <w:sz w:val="20"/>
        </w:rPr>
      </w:pPr>
      <w:r w:rsidRPr="00E26D0B">
        <w:rPr>
          <w:color w:val="000000"/>
          <w:sz w:val="20"/>
        </w:rPr>
        <w:t>*По крупным и средним организациям</w:t>
      </w:r>
    </w:p>
    <w:p w:rsidR="00C64139" w:rsidRPr="00E26D0B" w:rsidRDefault="00C64139" w:rsidP="00C64139">
      <w:pPr>
        <w:pStyle w:val="1"/>
        <w:jc w:val="center"/>
        <w:rPr>
          <w:b/>
          <w:color w:val="000000"/>
        </w:rPr>
      </w:pPr>
    </w:p>
    <w:p w:rsidR="00C64139" w:rsidRPr="00E26D0B" w:rsidRDefault="00C64139" w:rsidP="00C64139"/>
    <w:p w:rsidR="00C64139" w:rsidRPr="00E26D0B" w:rsidRDefault="00C64139" w:rsidP="00C64139">
      <w:pPr>
        <w:pStyle w:val="1"/>
        <w:jc w:val="center"/>
        <w:rPr>
          <w:b/>
          <w:color w:val="000000"/>
        </w:rPr>
      </w:pPr>
      <w:r w:rsidRPr="00E26D0B">
        <w:rPr>
          <w:b/>
          <w:color w:val="000000"/>
        </w:rPr>
        <w:t>2. ДЕМОГРАФИЧЕСКАЯ СИТУАЦИЯ</w:t>
      </w:r>
    </w:p>
    <w:p w:rsidR="00C64139" w:rsidRPr="00E26D0B" w:rsidRDefault="00C64139" w:rsidP="00C64139">
      <w:pPr>
        <w:ind w:firstLine="720"/>
        <w:jc w:val="both"/>
        <w:rPr>
          <w:rFonts w:eastAsia="Calibri"/>
          <w:szCs w:val="28"/>
        </w:rPr>
      </w:pPr>
      <w:r w:rsidRPr="00E26D0B">
        <w:rPr>
          <w:rFonts w:eastAsia="Calibri"/>
          <w:szCs w:val="28"/>
        </w:rPr>
        <w:t xml:space="preserve">      </w:t>
      </w:r>
    </w:p>
    <w:p w:rsidR="00C64139" w:rsidRPr="00E26D0B" w:rsidRDefault="00C64139" w:rsidP="00C64139">
      <w:pPr>
        <w:shd w:val="clear" w:color="auto" w:fill="FFFFFF"/>
        <w:ind w:firstLine="708"/>
        <w:jc w:val="both"/>
        <w:rPr>
          <w:color w:val="000000"/>
        </w:rPr>
      </w:pPr>
      <w:r w:rsidRPr="00E26D0B">
        <w:rPr>
          <w:color w:val="000000"/>
        </w:rPr>
        <w:t xml:space="preserve">Численность населения города Липецка остается достаточно стабильной. За 2017 год она составила 509735 человек. </w:t>
      </w:r>
    </w:p>
    <w:p w:rsidR="00C64139" w:rsidRPr="00E26D0B" w:rsidRDefault="00C64139" w:rsidP="00C64139">
      <w:pPr>
        <w:shd w:val="clear" w:color="auto" w:fill="FFFFFF"/>
        <w:ind w:firstLine="708"/>
        <w:jc w:val="both"/>
        <w:rPr>
          <w:color w:val="000000"/>
        </w:rPr>
      </w:pPr>
      <w:r w:rsidRPr="00E26D0B">
        <w:rPr>
          <w:color w:val="000000"/>
        </w:rPr>
        <w:t xml:space="preserve">Число родившихся за 2017 год уменьшилось на 12% и составило 5574 человека (в 2016 году - 6327 человек). Показатель смертности остался практически на прежнем уровне и составил 6410 человек (в 2016 году - 6483 человека). </w:t>
      </w:r>
    </w:p>
    <w:p w:rsidR="00C64139" w:rsidRPr="00E26D0B" w:rsidRDefault="00C64139" w:rsidP="00C64139">
      <w:pPr>
        <w:ind w:firstLine="708"/>
        <w:jc w:val="both"/>
        <w:rPr>
          <w:rFonts w:eastAsia="Calibri"/>
          <w:color w:val="000000"/>
          <w:szCs w:val="28"/>
        </w:rPr>
      </w:pPr>
      <w:r w:rsidRPr="00E26D0B">
        <w:rPr>
          <w:rFonts w:eastAsia="Calibri"/>
          <w:color w:val="000000"/>
          <w:szCs w:val="28"/>
        </w:rPr>
        <w:t>За январь-июнь 2018 года родилось 2543 человек, что на 6,92% меньше по сравнению с аналогичным периодом 2017 года. Число умерших за январь-июнь 2018 года составило 3260 человека, что на 1,03% меньше по сравнению с аналогичным периодом 2017 года.</w:t>
      </w:r>
    </w:p>
    <w:p w:rsidR="00C64139" w:rsidRPr="00E26D0B" w:rsidRDefault="00C64139" w:rsidP="00C64139">
      <w:pPr>
        <w:ind w:firstLine="708"/>
        <w:jc w:val="both"/>
        <w:rPr>
          <w:rFonts w:eastAsia="Calibri"/>
          <w:color w:val="000000"/>
          <w:szCs w:val="28"/>
        </w:rPr>
      </w:pPr>
      <w:r w:rsidRPr="00E26D0B">
        <w:rPr>
          <w:rFonts w:eastAsia="Calibri"/>
          <w:color w:val="000000"/>
          <w:szCs w:val="28"/>
        </w:rPr>
        <w:t>Естественная убыль населения в 2017 году составила 836 человек, что на 680 человек больше по сравнению с 2016 годом. Естественная убыль за январь-июнь 2018 года составила 717 человек, что на 155 человек больше по сравнению с аналогичным периодом 2017 года.</w:t>
      </w:r>
    </w:p>
    <w:p w:rsidR="00C64139" w:rsidRPr="00E26D0B" w:rsidRDefault="00C64139" w:rsidP="00C64139">
      <w:pPr>
        <w:shd w:val="clear" w:color="auto" w:fill="FFFFFF"/>
        <w:ind w:firstLine="708"/>
        <w:jc w:val="both"/>
        <w:rPr>
          <w:color w:val="000000"/>
        </w:rPr>
      </w:pPr>
      <w:r w:rsidRPr="00E26D0B">
        <w:rPr>
          <w:color w:val="000000"/>
        </w:rPr>
        <w:t xml:space="preserve">Для сдерживания роста коэффициента смертности в 2017 году проводились мероприятия по улучшению санитарно-эпидемиологической обстановки. Были усилены меры по предупреждению алкоголизма, наркомании и табакокурения. </w:t>
      </w:r>
    </w:p>
    <w:p w:rsidR="00C64139" w:rsidRPr="00E26D0B" w:rsidRDefault="00C64139" w:rsidP="00C64139">
      <w:pPr>
        <w:shd w:val="clear" w:color="auto" w:fill="FFFFFF"/>
        <w:ind w:firstLine="708"/>
        <w:jc w:val="both"/>
        <w:rPr>
          <w:color w:val="000000"/>
        </w:rPr>
      </w:pPr>
      <w:r w:rsidRPr="00E26D0B">
        <w:rPr>
          <w:color w:val="000000"/>
          <w:szCs w:val="28"/>
        </w:rPr>
        <w:t xml:space="preserve">В </w:t>
      </w:r>
      <w:r w:rsidRPr="00E26D0B">
        <w:rPr>
          <w:szCs w:val="28"/>
        </w:rPr>
        <w:t>прогнозном</w:t>
      </w:r>
      <w:r w:rsidRPr="00E26D0B">
        <w:rPr>
          <w:color w:val="000000"/>
          <w:szCs w:val="28"/>
        </w:rPr>
        <w:t xml:space="preserve"> периоде основным демографическим вектором станет усиление тенденции старения населения и, как следствие, ухудшение возрастной структуры.</w:t>
      </w:r>
    </w:p>
    <w:p w:rsidR="00C64139" w:rsidRPr="00E26D0B" w:rsidRDefault="00C64139" w:rsidP="00C64139">
      <w:pPr>
        <w:ind w:firstLine="709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Государством были предприняты меры, направленные на повышение рождаемости, снижение смертности от предотвратимых причин, снижение смертности за счет улучшения условий и охраны труда, снижение материнской и младенческой смертности, улучшение репродуктивного здоровья, формирование мотивации к здоровому образу жизни, стимулирование к занятиям физкультурой и спортом и регулирование миграции, которые продолжают реализовываться на сегодняшний день и позволят частично нивелировать негативные тенденции:</w:t>
      </w:r>
    </w:p>
    <w:p w:rsidR="00C64139" w:rsidRPr="00E26D0B" w:rsidRDefault="00C64139" w:rsidP="00C64139">
      <w:pPr>
        <w:ind w:firstLine="709"/>
        <w:jc w:val="both"/>
        <w:rPr>
          <w:bCs/>
          <w:color w:val="333333"/>
          <w:kern w:val="36"/>
          <w:szCs w:val="28"/>
        </w:rPr>
      </w:pPr>
      <w:r w:rsidRPr="00E26D0B">
        <w:rPr>
          <w:bCs/>
          <w:color w:val="333333"/>
          <w:kern w:val="36"/>
          <w:szCs w:val="28"/>
        </w:rPr>
        <w:t>- У</w:t>
      </w:r>
      <w:r w:rsidRPr="00E26D0B">
        <w:rPr>
          <w:bCs/>
          <w:color w:val="000000"/>
          <w:szCs w:val="28"/>
        </w:rPr>
        <w:t>каз Президента РФ от 22.06.2006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C64139" w:rsidRPr="00E26D0B" w:rsidRDefault="00C64139" w:rsidP="00C64139">
      <w:pPr>
        <w:ind w:firstLine="709"/>
        <w:jc w:val="both"/>
        <w:rPr>
          <w:bCs/>
          <w:color w:val="000000"/>
          <w:szCs w:val="28"/>
        </w:rPr>
      </w:pPr>
      <w:r w:rsidRPr="00E26D0B">
        <w:rPr>
          <w:color w:val="000000"/>
          <w:szCs w:val="28"/>
        </w:rPr>
        <w:t xml:space="preserve">- </w:t>
      </w:r>
      <w:r w:rsidRPr="00E26D0B">
        <w:rPr>
          <w:bCs/>
          <w:color w:val="000000"/>
          <w:szCs w:val="28"/>
        </w:rPr>
        <w:t>Указ Президента РФ от 07.05.2012 № 606 «О мерах по реализации демографической политики Российской Федерации»;</w:t>
      </w:r>
    </w:p>
    <w:p w:rsidR="00C64139" w:rsidRPr="00E26D0B" w:rsidRDefault="00C64139" w:rsidP="00C64139">
      <w:pPr>
        <w:ind w:firstLine="709"/>
        <w:jc w:val="both"/>
        <w:rPr>
          <w:bCs/>
          <w:color w:val="000000"/>
          <w:szCs w:val="28"/>
        </w:rPr>
      </w:pPr>
      <w:r w:rsidRPr="00E26D0B">
        <w:rPr>
          <w:bCs/>
          <w:color w:val="000000"/>
          <w:szCs w:val="28"/>
        </w:rPr>
        <w:t>- Указ Президента РФ от 14.09.2012 № 1289 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рубежом»;</w:t>
      </w:r>
    </w:p>
    <w:p w:rsidR="00C64139" w:rsidRPr="00E26D0B" w:rsidRDefault="00C64139" w:rsidP="00C64139">
      <w:pPr>
        <w:ind w:firstLine="709"/>
        <w:jc w:val="both"/>
        <w:rPr>
          <w:bCs/>
          <w:color w:val="333333"/>
          <w:kern w:val="36"/>
          <w:szCs w:val="28"/>
        </w:rPr>
      </w:pPr>
      <w:r w:rsidRPr="00E26D0B">
        <w:rPr>
          <w:color w:val="000000"/>
          <w:szCs w:val="28"/>
        </w:rPr>
        <w:t xml:space="preserve"> - </w:t>
      </w:r>
      <w:r w:rsidRPr="00E26D0B">
        <w:rPr>
          <w:bCs/>
          <w:color w:val="000000"/>
          <w:szCs w:val="28"/>
        </w:rPr>
        <w:t>Указ Президента РФ от 07.05.2018 № 204 «О национальных целях и стратегических задачах развития Российской Федерации на период до 2024 года»</w:t>
      </w:r>
      <w:r w:rsidRPr="00E26D0B">
        <w:rPr>
          <w:color w:val="000000"/>
          <w:szCs w:val="28"/>
        </w:rPr>
        <w:t>;</w:t>
      </w:r>
    </w:p>
    <w:p w:rsidR="00C64139" w:rsidRPr="00E26D0B" w:rsidRDefault="00C64139" w:rsidP="00C64139">
      <w:pPr>
        <w:ind w:firstLine="709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Распоряжение Правительства РФ от 14.04.2016 № 669-р «Об утверждении плана мероприятий по реализации в 2016–2020 годах Концепции демографической политики Российской Федерации на период до 2025 года».</w:t>
      </w:r>
    </w:p>
    <w:p w:rsidR="00C64139" w:rsidRPr="00E26D0B" w:rsidRDefault="00C64139" w:rsidP="00C64139">
      <w:pPr>
        <w:ind w:firstLine="709"/>
        <w:jc w:val="both"/>
      </w:pPr>
      <w:r w:rsidRPr="00E26D0B">
        <w:t>Для  стимулирования рождения в семьях второго и третьего ребенка, а также повышения статуса многодетной семьи, продлено действие программы материнского капитала до конца 2021 года.</w:t>
      </w:r>
    </w:p>
    <w:p w:rsidR="00C64139" w:rsidRPr="00E26D0B" w:rsidRDefault="00C64139" w:rsidP="00C64139">
      <w:pPr>
        <w:ind w:firstLine="709"/>
        <w:jc w:val="both"/>
        <w:rPr>
          <w:color w:val="000000"/>
        </w:rPr>
      </w:pPr>
      <w:r w:rsidRPr="00E26D0B">
        <w:rPr>
          <w:color w:val="000000"/>
        </w:rPr>
        <w:t xml:space="preserve">Коэффициент  рождаемости в среднесрочном прогнозируемом периоде </w:t>
      </w:r>
      <w:r w:rsidRPr="00E26D0B">
        <w:rPr>
          <w:szCs w:val="28"/>
        </w:rPr>
        <w:t xml:space="preserve">будет находиться на уровне 11,58-11,56 на 1000 человек населения, что обусловлено </w:t>
      </w:r>
      <w:r w:rsidRPr="00E26D0B">
        <w:rPr>
          <w:color w:val="000000"/>
        </w:rPr>
        <w:t xml:space="preserve">сокращением числа женщин репродуктивного возраста, а также тенденции откладывания рождения первого ребенка на более поздний период. </w:t>
      </w:r>
    </w:p>
    <w:p w:rsidR="00C64139" w:rsidRPr="00E26D0B" w:rsidRDefault="00C64139" w:rsidP="00C64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D0B">
        <w:rPr>
          <w:szCs w:val="28"/>
        </w:rPr>
        <w:t>Мероприятия по сокращению уровня смертности, прежде всего граждан трудоспособного возраста, будут способствовать стабилизации общего коэффициента смертности к 2021 году до 11,96 умерших на 1000 человек населения.</w:t>
      </w:r>
    </w:p>
    <w:p w:rsidR="00C64139" w:rsidRPr="00E26D0B" w:rsidRDefault="00C64139" w:rsidP="00C64139">
      <w:pPr>
        <w:ind w:firstLine="709"/>
        <w:jc w:val="both"/>
        <w:rPr>
          <w:color w:val="000000"/>
        </w:rPr>
      </w:pPr>
      <w:r w:rsidRPr="00E26D0B">
        <w:rPr>
          <w:szCs w:val="28"/>
        </w:rPr>
        <w:t>Важным фактором восполнения населения может стать прирост численности за счет миграции. В 2017 году м</w:t>
      </w:r>
      <w:r w:rsidRPr="00E26D0B">
        <w:t xml:space="preserve">играционный прирост населения составил 168 человек (прибыло 13219 человек, выбыло 13051 человек). 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 xml:space="preserve">С учетом реализации мер государственной миграционной политики, направленных на повышение миграционной привлекательности, в прогнозный период планируется ежегодно поддерживать миграционное сальдо, в первую очередь за счет привлечения на постоянное место жительства соотечественников, проживающих за рубежом, квалифицированных иностранных специалистов, перспективной молодежи. </w:t>
      </w:r>
      <w:r w:rsidRPr="00E26D0B">
        <w:rPr>
          <w:rFonts w:eastAsia="Calibri"/>
          <w:szCs w:val="28"/>
        </w:rPr>
        <w:t>Для этого была п</w:t>
      </w:r>
      <w:r w:rsidRPr="00E26D0B">
        <w:rPr>
          <w:szCs w:val="28"/>
        </w:rPr>
        <w:t>родолжена реализация</w:t>
      </w:r>
      <w:r w:rsidRPr="00E26D0B">
        <w:rPr>
          <w:rFonts w:eastAsia="Calibri"/>
          <w:szCs w:val="28"/>
        </w:rPr>
        <w:t xml:space="preserve"> государственной программы Липецкой области «Развитие рынка труда и содействие занятости населения Липецкой области» до 2020 года.</w:t>
      </w:r>
    </w:p>
    <w:p w:rsidR="00C64139" w:rsidRPr="00E26D0B" w:rsidRDefault="00C64139" w:rsidP="00C64139">
      <w:pPr>
        <w:ind w:firstLine="709"/>
        <w:jc w:val="both"/>
      </w:pPr>
      <w:r w:rsidRPr="00E26D0B">
        <w:t>Достижение целей демографического развития города Липецка в значительной степени зависит от успешного решения широкого круга задач социально-экономического развития, включая обеспечение стабильного экономического роста и роста качества жизни населения,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улучшение санитарно-эпидемиологической обстановки.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Указанные меры позволят к 2021 году увеличить показатель численности населения города Липецка до 512828.</w:t>
      </w:r>
    </w:p>
    <w:p w:rsidR="00C64139" w:rsidRPr="00E26D0B" w:rsidRDefault="00C64139" w:rsidP="00C64139">
      <w:pPr>
        <w:ind w:firstLine="709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Основные показатели демографической ситуации в городе Липецке по отчету за 2017 год, их оценка на 2018 год и прогноз на 2019–2021 годы представлены в таблице 2.1.</w:t>
      </w:r>
    </w:p>
    <w:p w:rsidR="00C64139" w:rsidRPr="00E26D0B" w:rsidRDefault="00C64139" w:rsidP="00C64139">
      <w:pPr>
        <w:ind w:left="8080" w:firstLine="363"/>
        <w:jc w:val="center"/>
        <w:rPr>
          <w:szCs w:val="28"/>
        </w:rPr>
      </w:pPr>
    </w:p>
    <w:p w:rsidR="00C64139" w:rsidRPr="00E26D0B" w:rsidRDefault="00C64139" w:rsidP="00C64139">
      <w:pPr>
        <w:ind w:left="8080" w:firstLine="363"/>
        <w:jc w:val="center"/>
        <w:rPr>
          <w:szCs w:val="28"/>
        </w:rPr>
      </w:pPr>
      <w:r w:rsidRPr="00E26D0B">
        <w:rPr>
          <w:szCs w:val="28"/>
        </w:rPr>
        <w:t>Таблица 2.1</w:t>
      </w:r>
    </w:p>
    <w:p w:rsidR="00373D1C" w:rsidRDefault="00373D1C" w:rsidP="00C64139">
      <w:pPr>
        <w:keepNext/>
        <w:jc w:val="center"/>
        <w:outlineLvl w:val="0"/>
        <w:rPr>
          <w:b/>
          <w:szCs w:val="28"/>
          <w:lang w:val="en-US"/>
        </w:rPr>
      </w:pPr>
    </w:p>
    <w:p w:rsidR="00C64139" w:rsidRPr="00E26D0B" w:rsidRDefault="00C64139" w:rsidP="00C64139">
      <w:pPr>
        <w:keepNext/>
        <w:jc w:val="center"/>
        <w:outlineLvl w:val="0"/>
        <w:rPr>
          <w:b/>
          <w:szCs w:val="28"/>
        </w:rPr>
      </w:pPr>
      <w:r w:rsidRPr="00E26D0B">
        <w:rPr>
          <w:b/>
          <w:szCs w:val="28"/>
        </w:rPr>
        <w:t>Основные показатели демографической ситуации</w:t>
      </w:r>
    </w:p>
    <w:p w:rsidR="00C64139" w:rsidRPr="00E26D0B" w:rsidRDefault="00C64139" w:rsidP="00C6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34"/>
        <w:gridCol w:w="1276"/>
        <w:gridCol w:w="1323"/>
        <w:gridCol w:w="1316"/>
        <w:gridCol w:w="1294"/>
      </w:tblGrid>
      <w:tr w:rsidR="00C64139" w:rsidRPr="00E26D0B" w:rsidTr="00783ABD">
        <w:trPr>
          <w:trHeight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2017 год факт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rPr>
          <w:trHeight w:val="40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509735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510978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511987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512754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512828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100,24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100,15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100,015</w:t>
            </w:r>
          </w:p>
        </w:tc>
      </w:tr>
      <w:tr w:rsidR="00C64139" w:rsidRPr="00E26D0B" w:rsidTr="00783ABD">
        <w:trPr>
          <w:trHeight w:val="335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keepNext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Количество родившихся</w:t>
            </w:r>
          </w:p>
        </w:tc>
      </w:tr>
      <w:tr w:rsidR="00C64139" w:rsidRPr="00E26D0B" w:rsidTr="00783ABD">
        <w:trPr>
          <w:trHeight w:val="16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5908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5911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5917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5926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100,15</w:t>
            </w:r>
          </w:p>
        </w:tc>
      </w:tr>
      <w:tr w:rsidR="00C64139" w:rsidRPr="00E26D0B" w:rsidTr="00783ABD">
        <w:trPr>
          <w:trHeight w:val="43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both"/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Количество умерших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6154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6147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6135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96,01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64139" w:rsidRPr="00E26D0B" w:rsidTr="00783ABD">
        <w:trPr>
          <w:trHeight w:val="475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Естественный прирост (+), убыль (-)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-245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-224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-209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29,31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96,33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94,92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C64139" w:rsidRPr="00E26D0B" w:rsidTr="00783ABD">
        <w:trPr>
          <w:trHeight w:val="446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Коэффициент рождаемости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 на 1тыс. жителей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11,58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11,56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106,21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100,07</w:t>
            </w:r>
          </w:p>
        </w:tc>
      </w:tr>
      <w:tr w:rsidR="00C64139" w:rsidRPr="00E26D0B" w:rsidTr="00783ABD">
        <w:trPr>
          <w:trHeight w:val="445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Коэффициент смертности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 на 1тыс. жителей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12,04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12,01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11,98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11,96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99,21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95,58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99,89</w:t>
            </w:r>
          </w:p>
        </w:tc>
      </w:tr>
      <w:tr w:rsidR="00C64139" w:rsidRPr="00E26D0B" w:rsidTr="00783ABD">
        <w:trPr>
          <w:trHeight w:val="47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Количество прибывших 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13219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14409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14553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14698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13963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98,39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109,0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101,0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101,0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95,0</w:t>
            </w:r>
          </w:p>
        </w:tc>
      </w:tr>
      <w:tr w:rsidR="00C64139" w:rsidRPr="00E26D0B" w:rsidTr="00783ABD">
        <w:trPr>
          <w:trHeight w:val="447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 xml:space="preserve">Количество выбывших 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12920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13308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13707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13680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99,0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103,0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103,0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6D0B">
              <w:rPr>
                <w:color w:val="000000"/>
                <w:sz w:val="22"/>
                <w:szCs w:val="22"/>
                <w:lang w:val="uk-UA"/>
              </w:rPr>
              <w:t>99,8</w:t>
            </w:r>
          </w:p>
        </w:tc>
      </w:tr>
      <w:tr w:rsidR="00C64139" w:rsidRPr="00E26D0B" w:rsidTr="00783ABD">
        <w:trPr>
          <w:trHeight w:val="461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color w:val="000000"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Миграционный прирост (+), убыль (-)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1488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991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283</w:t>
            </w:r>
          </w:p>
        </w:tc>
      </w:tr>
      <w:tr w:rsidR="00C64139" w:rsidRPr="00E26D0B" w:rsidTr="00783AB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28,77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885,71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83,67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uk-UA"/>
              </w:rPr>
            </w:pPr>
            <w:r w:rsidRPr="00E26D0B">
              <w:rPr>
                <w:sz w:val="22"/>
                <w:szCs w:val="22"/>
                <w:lang w:val="uk-UA"/>
              </w:rPr>
              <w:t>28,56</w:t>
            </w:r>
          </w:p>
        </w:tc>
      </w:tr>
    </w:tbl>
    <w:p w:rsidR="00C64139" w:rsidRPr="00E26D0B" w:rsidRDefault="00C64139" w:rsidP="00C64139">
      <w:pPr>
        <w:ind w:left="360"/>
        <w:jc w:val="center"/>
        <w:rPr>
          <w:b/>
        </w:rPr>
      </w:pPr>
    </w:p>
    <w:p w:rsidR="00C64139" w:rsidRPr="00E26D0B" w:rsidRDefault="00C64139" w:rsidP="00C64139">
      <w:pPr>
        <w:ind w:left="360"/>
        <w:jc w:val="center"/>
        <w:rPr>
          <w:b/>
        </w:rPr>
      </w:pPr>
    </w:p>
    <w:p w:rsidR="00C64139" w:rsidRPr="00E26D0B" w:rsidRDefault="00C64139" w:rsidP="00C64139">
      <w:pPr>
        <w:ind w:left="360"/>
        <w:jc w:val="center"/>
        <w:rPr>
          <w:b/>
        </w:rPr>
      </w:pPr>
      <w:r w:rsidRPr="00E26D0B">
        <w:rPr>
          <w:b/>
        </w:rPr>
        <w:t>3. ЗАНЯТОСТЬ И ДОХОДЫ НАСЕЛЕНИЯ</w:t>
      </w:r>
    </w:p>
    <w:p w:rsidR="00C64139" w:rsidRPr="00E26D0B" w:rsidRDefault="00C64139" w:rsidP="00C64139">
      <w:pPr>
        <w:ind w:left="360"/>
        <w:jc w:val="center"/>
        <w:rPr>
          <w:b/>
        </w:rPr>
      </w:pP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Занятость и доходы населения – это главные составляющие, характеризующие уровень жизни, повышение которого является одной из важнейших социальных задач.</w:t>
      </w:r>
    </w:p>
    <w:p w:rsidR="00C64139" w:rsidRPr="00E26D0B" w:rsidRDefault="00C64139" w:rsidP="00C64139">
      <w:pPr>
        <w:ind w:firstLine="708"/>
        <w:jc w:val="both"/>
        <w:rPr>
          <w:rFonts w:eastAsia="Calibri"/>
          <w:szCs w:val="28"/>
          <w:lang w:eastAsia="en-US"/>
        </w:rPr>
      </w:pPr>
      <w:r w:rsidRPr="00E26D0B">
        <w:rPr>
          <w:szCs w:val="28"/>
        </w:rPr>
        <w:t xml:space="preserve">Заработная плата является основным источником доходов населения. </w:t>
      </w:r>
      <w:r w:rsidRPr="00E26D0B">
        <w:rPr>
          <w:rFonts w:eastAsia="Calibri"/>
          <w:szCs w:val="28"/>
        </w:rPr>
        <w:t xml:space="preserve">На </w:t>
      </w:r>
      <w:r w:rsidRPr="00E26D0B">
        <w:t xml:space="preserve">01.01.2018 </w:t>
      </w:r>
      <w:r w:rsidRPr="00E26D0B">
        <w:rPr>
          <w:rFonts w:eastAsia="Calibri"/>
          <w:szCs w:val="28"/>
        </w:rPr>
        <w:t>среднемесячная заработная плата работников крупных и средних организаций города превышала прожиточный минимум в 4,4 раза (в 2016 году в 3,8 раза).</w:t>
      </w:r>
      <w:r w:rsidRPr="00E26D0B">
        <w:t xml:space="preserve"> При том, что его в</w:t>
      </w:r>
      <w:r w:rsidRPr="00E26D0B">
        <w:rPr>
          <w:rFonts w:eastAsia="Calibri"/>
          <w:szCs w:val="28"/>
        </w:rPr>
        <w:t>еличина на душу населения в 2017 году осталась на прежнем уровне и составила 8313 рублей.</w:t>
      </w:r>
    </w:p>
    <w:p w:rsidR="00C64139" w:rsidRPr="00E26D0B" w:rsidRDefault="00C64139" w:rsidP="00C64139">
      <w:pPr>
        <w:widowControl w:val="0"/>
        <w:autoSpaceDE w:val="0"/>
        <w:autoSpaceDN w:val="0"/>
        <w:adjustRightInd w:val="0"/>
        <w:ind w:firstLine="709"/>
        <w:jc w:val="both"/>
      </w:pPr>
      <w:r w:rsidRPr="00E26D0B">
        <w:rPr>
          <w:rFonts w:eastAsia="Calibri"/>
          <w:szCs w:val="28"/>
        </w:rPr>
        <w:t xml:space="preserve">За 2017 год среднемесячная номинальная начисленная зарплата выросла на 7,1%, ее размер составил 36179,7 рублей. </w:t>
      </w:r>
      <w:r w:rsidRPr="00E26D0B">
        <w:t>Наиболее высокие заработные платы у работников металлургической отрасли, финансовой сферы, государственного управления, наименьшие – у специалистов в области обслуживания гостиниц и ресторанов, образования, почтовой связи.</w:t>
      </w:r>
    </w:p>
    <w:p w:rsidR="00C64139" w:rsidRPr="00E26D0B" w:rsidRDefault="00C64139" w:rsidP="00C64139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26D0B">
        <w:t xml:space="preserve">За январь-июнь 2018 года </w:t>
      </w:r>
      <w:r w:rsidRPr="00E26D0B">
        <w:rPr>
          <w:rFonts w:eastAsia="Calibri"/>
          <w:szCs w:val="28"/>
        </w:rPr>
        <w:t xml:space="preserve">среднемесячная номинальная начисленная зарплата составила 38355,9 рублей или 111,5% к соответствующему периоду прошлого года. В том числе в сфере </w:t>
      </w:r>
      <w:r w:rsidRPr="00E26D0B">
        <w:rPr>
          <w:iCs/>
          <w:szCs w:val="28"/>
        </w:rPr>
        <w:t xml:space="preserve">обрабатывающих производств – 49514,6 рублей или 108,6% к прошлому периоду, обеспечение электрической энергией, газом и паром; кондиционирование воздуха – </w:t>
      </w:r>
      <w:r w:rsidRPr="00E26D0B">
        <w:rPr>
          <w:szCs w:val="28"/>
        </w:rPr>
        <w:t xml:space="preserve">38056,8 рублей или 108,7% </w:t>
      </w:r>
      <w:r w:rsidRPr="00E26D0B">
        <w:rPr>
          <w:iCs/>
          <w:szCs w:val="28"/>
        </w:rPr>
        <w:t>к прошлому периоду, транспортировка и хранение – 28210,1 рублей или 115,1% к прошлому периоду.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Ожидается, что целевые уровни  по реализации мер по повышению оплаты труда отдельных категорий работников бюджетной сферы (врачи, средний и младший медицинский персонал, педагогические работники дополнительного образования детей и оказывающие социальные услуги детям-сиротам и детям, оставшимся без попечения родителей), в соответствии с Указами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родителей», от 7 мая 2012 года № 597 «О мероприятиях по реализации государственной социальной политики», будут достигнуты в 2018 году с последующим поддержанием в прогнозируемом периоде.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Ожидается, что реальные располагаемые доходы выйдут в область положительных значений. Росту реальных располагаемых доходов населения будет способствовать положительная динамика доходов от предпринимательской деятельности в условиях постепенного восстановления экономики, а также доходов от собственности. В части пенсионного обеспечения прогнозируется увеличение страховых пенсий не реже одного раза в год исходя из роста индекса потребительских цен за прошедший год.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 xml:space="preserve">По оценке в 2018 году среднемесячная заработная плата работников крупных и средних организаций города Липецка составит 40480,8 рублей или 111,9% к уровню 2017 года. По прогнозу среднемесячная заработная плата работников крупных и средних организаций города Липецка в 2021 году достигнет 53099,8 рублей. 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 xml:space="preserve">Развитие рынка труда в значительной степени будет определяться общей ситуацией в экономике. 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Металлургическая отрасль в городе, представленная градообразующим предприятием ПАО «НЛМК», после кризиса 2008-2009 годов провела основную оптимизацию своих издержек и в настоящее время не имеет существенной избыточной занятости.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В прогнозном периоде на численность работающих крупных и средних предприятий города Липецка, будут влиять: с одной стороны - вступление в трудоспособный возраст граждан, родившихся в 2000 годы, с другой стороны -  увеличение численности лиц, достигших пенсионного возраста и граждан, старше трудоспособного возраста, которые будут продолжать трудовую деятельность, что обусловлено повышением минимального размера оплаты труда до 11163 рублей  в соответствии с Федеральным законом от 07.03.2018 № 41-ФЗ «О минимальном размере оплаты труда» и выбытие многочисленных поколений, рожденных в послевоенные годы.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В 2018 году планируется частичное  сокращение численности работающих в АО «Прогресс», ООО «ЛПО «Электроаппарат», ООО «Теплоэнергомонтаж», ЗАО «Индезит Интернэшнл».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Восполнение трудовых ресурсов будет происходить большей частью за счет легализации трудовых отношений работающих граждан.</w:t>
      </w:r>
    </w:p>
    <w:p w:rsidR="00C64139" w:rsidRPr="00E26D0B" w:rsidRDefault="00C64139" w:rsidP="00C64139">
      <w:pPr>
        <w:ind w:firstLine="709"/>
        <w:jc w:val="both"/>
        <w:rPr>
          <w:color w:val="000000"/>
          <w:lang w:bidi="ru-RU"/>
        </w:rPr>
      </w:pPr>
      <w:r w:rsidRPr="00E26D0B">
        <w:rPr>
          <w:szCs w:val="28"/>
        </w:rPr>
        <w:t>Влияние на численность работающих крупных и средних организаций города Липецка</w:t>
      </w:r>
      <w:r w:rsidRPr="00E26D0B">
        <w:rPr>
          <w:color w:val="000000"/>
          <w:lang w:bidi="ru-RU"/>
        </w:rPr>
        <w:t xml:space="preserve">  окажет и действие государственной Программы Липецкой области «Оказание содействия добровольному переселению в Липецкую область соотечественников, проживающих за рубежом, до 2020 года». </w:t>
      </w:r>
    </w:p>
    <w:p w:rsidR="00C64139" w:rsidRPr="00E26D0B" w:rsidRDefault="00C64139" w:rsidP="00C64139">
      <w:pPr>
        <w:ind w:firstLine="709"/>
        <w:jc w:val="both"/>
      </w:pPr>
      <w:r w:rsidRPr="00E26D0B">
        <w:t>Большой вклад в развитие экономики вносит малый и средний бизнес, который представлен практически во всех отраслях экономики.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t>Малое и среднее предпринимательство отличается гибкостью, мобильностью, во многом определяет темп экономического роста и производственную структуру городского хозяйства.</w:t>
      </w:r>
    </w:p>
    <w:p w:rsidR="00C64139" w:rsidRPr="00E26D0B" w:rsidRDefault="00C64139" w:rsidP="00C64139">
      <w:pPr>
        <w:ind w:firstLine="708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>В 2017 году на рынке труда города отмечалась тенденция уменьшения общей численности безработных граждан, снижения численности граждан, зарегистрированных в органах службы занятости.</w:t>
      </w:r>
    </w:p>
    <w:p w:rsidR="00C64139" w:rsidRPr="00E26D0B" w:rsidRDefault="00C64139" w:rsidP="00C64139">
      <w:pPr>
        <w:ind w:firstLine="709"/>
        <w:jc w:val="both"/>
      </w:pPr>
      <w:r w:rsidRPr="00E26D0B">
        <w:rPr>
          <w:szCs w:val="28"/>
        </w:rPr>
        <w:t xml:space="preserve">В прогнозном периоде развитие новых производств, восстановление экономики, активная политика занятости населения позволят сохранить достаточно низкий уровень регистрируемой безработицы. </w:t>
      </w:r>
      <w:r w:rsidRPr="00E26D0B">
        <w:t xml:space="preserve">Напряженности не ожидается. В среднесрочной перспективе прогнозируется стабилизация  уровня регистрируемой безработицы на уровне 0,34% от экономически активного населения. 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 xml:space="preserve">В 2017 году среднесписочная численность работников крупных и средних организаций города Липецка (без внешних совместителей) составила 133505 человек (97,5% к 2016 году). 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По оценке в 2018 году среднесписочная численность работников крупных и средних организаций города Липецка (без внешних совместителей)  составит 133639 человек или 100,1% к уровню прошлого года. По прогнозу в 2021 году среднесписочная численность работников крупных и средних организаций (без внешних совместителей) составит 133761 человек.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Общий фонд заработной платы по крупным и средним организациям по оценочным данным в 2018 году составит 64917,6 млн. рублей или 112% к уровню прошлого года. По прогнозу в 2021 году фонд заработной платы по крупным и средним организациям составит 85232,4 млн. рублей.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Данные о прогнозных показателях среднемесячной заработной платы, среднесписочной численности работников, фонда заработной платы всех работников по крупным и средним организациям по годам представлены в таблице 3.1.</w:t>
      </w:r>
    </w:p>
    <w:p w:rsidR="00C64139" w:rsidRPr="00E26D0B" w:rsidRDefault="00C64139" w:rsidP="00C64139">
      <w:pPr>
        <w:ind w:left="357"/>
        <w:jc w:val="right"/>
        <w:rPr>
          <w:szCs w:val="28"/>
        </w:rPr>
      </w:pPr>
      <w:r w:rsidRPr="00E26D0B">
        <w:rPr>
          <w:szCs w:val="28"/>
        </w:rPr>
        <w:t>Таблица 3.1</w:t>
      </w:r>
    </w:p>
    <w:p w:rsidR="00C64139" w:rsidRPr="00E26D0B" w:rsidRDefault="00C64139" w:rsidP="00C64139">
      <w:pPr>
        <w:ind w:left="357"/>
        <w:jc w:val="center"/>
        <w:rPr>
          <w:b/>
          <w:szCs w:val="28"/>
        </w:rPr>
      </w:pPr>
    </w:p>
    <w:p w:rsidR="00C64139" w:rsidRPr="00E26D0B" w:rsidRDefault="00C64139" w:rsidP="00C64139">
      <w:pPr>
        <w:ind w:left="357"/>
        <w:jc w:val="center"/>
        <w:rPr>
          <w:b/>
          <w:szCs w:val="28"/>
        </w:rPr>
      </w:pPr>
      <w:r w:rsidRPr="00E26D0B">
        <w:rPr>
          <w:b/>
          <w:szCs w:val="28"/>
        </w:rPr>
        <w:t>Основные показателя занятости и доходов населения</w:t>
      </w:r>
    </w:p>
    <w:p w:rsidR="00C64139" w:rsidRPr="00E26D0B" w:rsidRDefault="00C64139" w:rsidP="00C64139">
      <w:pPr>
        <w:tabs>
          <w:tab w:val="left" w:pos="709"/>
        </w:tabs>
        <w:ind w:left="360"/>
      </w:pPr>
      <w:r w:rsidRPr="00E26D0B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1276"/>
        <w:gridCol w:w="1559"/>
        <w:gridCol w:w="1332"/>
        <w:gridCol w:w="11"/>
        <w:gridCol w:w="1598"/>
      </w:tblGrid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color w:val="000000"/>
                <w:sz w:val="22"/>
                <w:szCs w:val="22"/>
              </w:rPr>
              <w:t xml:space="preserve">Среднемесячная заработная плата* 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36179,7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40480,8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73" w:right="-114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44295,5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48493,9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53099,8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109,48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109,5</w:t>
            </w:r>
          </w:p>
        </w:tc>
      </w:tr>
      <w:tr w:rsidR="00C64139" w:rsidRPr="00E26D0B" w:rsidTr="00783AB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Среднесписочная численность работающих*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133505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73" w:right="-114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133759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133761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100,0019</w:t>
            </w:r>
          </w:p>
        </w:tc>
      </w:tr>
      <w:tr w:rsidR="00C64139" w:rsidRPr="00E26D0B" w:rsidTr="00783ABD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Фонд заработной платы* 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57962,1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64917,6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73" w:right="-114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71084,7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77837,8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85232,4</w:t>
            </w:r>
          </w:p>
        </w:tc>
      </w:tr>
      <w:tr w:rsidR="00C64139" w:rsidRPr="00E26D0B" w:rsidTr="00783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60" w:right="-108"/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109,5</w:t>
            </w:r>
          </w:p>
        </w:tc>
      </w:tr>
    </w:tbl>
    <w:p w:rsidR="00C64139" w:rsidRPr="00E26D0B" w:rsidRDefault="00C64139" w:rsidP="00C64139">
      <w:pPr>
        <w:rPr>
          <w:color w:val="000000"/>
          <w:sz w:val="20"/>
        </w:rPr>
      </w:pPr>
    </w:p>
    <w:p w:rsidR="00C64139" w:rsidRPr="00E26D0B" w:rsidRDefault="00C64139" w:rsidP="00C64139">
      <w:pPr>
        <w:rPr>
          <w:color w:val="000000"/>
          <w:sz w:val="20"/>
        </w:rPr>
      </w:pPr>
      <w:r w:rsidRPr="00E26D0B">
        <w:rPr>
          <w:color w:val="000000"/>
          <w:sz w:val="20"/>
        </w:rPr>
        <w:t>*По крупным и средним организациям</w:t>
      </w:r>
    </w:p>
    <w:p w:rsidR="00C64139" w:rsidRPr="00E26D0B" w:rsidRDefault="00C64139" w:rsidP="00C64139">
      <w:pPr>
        <w:tabs>
          <w:tab w:val="left" w:pos="709"/>
        </w:tabs>
        <w:ind w:left="360"/>
        <w:rPr>
          <w:b/>
        </w:rPr>
      </w:pPr>
    </w:p>
    <w:p w:rsidR="00C64139" w:rsidRPr="00E26D0B" w:rsidRDefault="00C64139" w:rsidP="00C64139">
      <w:pPr>
        <w:tabs>
          <w:tab w:val="left" w:pos="709"/>
        </w:tabs>
        <w:ind w:left="360"/>
        <w:rPr>
          <w:b/>
        </w:rPr>
      </w:pPr>
    </w:p>
    <w:p w:rsidR="00C64139" w:rsidRPr="00E26D0B" w:rsidRDefault="00C64139" w:rsidP="00C64139">
      <w:pPr>
        <w:ind w:left="360"/>
        <w:jc w:val="center"/>
        <w:rPr>
          <w:b/>
        </w:rPr>
      </w:pPr>
      <w:r w:rsidRPr="00E26D0B">
        <w:rPr>
          <w:b/>
        </w:rPr>
        <w:t>4. ПОТРЕБИТЕЛЬСКИЙ РЫНОК</w:t>
      </w:r>
    </w:p>
    <w:p w:rsidR="00C64139" w:rsidRPr="00E26D0B" w:rsidRDefault="00C64139" w:rsidP="00C64139"/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t>Потребительский рынок является одной из важнейших сфер жизнеобеспечения и экономики города и призван обеспечить решение комплекса задач, ориентированных на наиболее полное удовлетворение потребностей населения в услугах торговли, общественного питания и бытового обслуживания.</w:t>
      </w:r>
    </w:p>
    <w:p w:rsidR="00C64139" w:rsidRPr="00E26D0B" w:rsidRDefault="00C64139" w:rsidP="00C64139">
      <w:pPr>
        <w:ind w:firstLine="720"/>
        <w:jc w:val="both"/>
      </w:pPr>
      <w:r w:rsidRPr="00E26D0B">
        <w:t>Состояние потребительского рынка является одним из важнейших индикаторов социально-экономического благополучия общества.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Об уровне развития потребительского рынка свидетельствуют</w:t>
      </w:r>
      <w:r w:rsidRPr="00E26D0B">
        <w:t xml:space="preserve"> показатели </w:t>
      </w:r>
      <w:r w:rsidRPr="00E26D0B">
        <w:rPr>
          <w:szCs w:val="28"/>
        </w:rPr>
        <w:t xml:space="preserve">количества объектов отрасли, оборот розничной торговли и общественного питания. </w:t>
      </w:r>
    </w:p>
    <w:p w:rsidR="00C64139" w:rsidRPr="00E26D0B" w:rsidRDefault="00C64139" w:rsidP="00C64139">
      <w:pPr>
        <w:autoSpaceDE w:val="0"/>
        <w:autoSpaceDN w:val="0"/>
        <w:adjustRightInd w:val="0"/>
        <w:ind w:firstLine="720"/>
        <w:jc w:val="both"/>
      </w:pPr>
      <w:r w:rsidRPr="00E26D0B">
        <w:t xml:space="preserve">По итогам 2017 года общее число объектов потребительского рынка составляет более 4 тысяч, из них 1238 стационарных предприятий розничной торговли, более 600 из которых приспособлены для доступа лиц с ограниченными возможностями. Фактический показатель обеспеченности населения торговыми площадями составил 820,3 кв. м на 1000 жителей (при нормативе 607 кв. м), в 2016 – 681,0 кв. м на 1 000 жителей. Фактический показатель обеспеченности населения торговыми площадями превысил норматив на 213,3 кв. м на 1000 жителей и составил 135,1% от норматива. </w:t>
      </w:r>
    </w:p>
    <w:p w:rsidR="0005442A" w:rsidRPr="00477550" w:rsidRDefault="00C64139" w:rsidP="00C64139">
      <w:pPr>
        <w:autoSpaceDE w:val="0"/>
        <w:autoSpaceDN w:val="0"/>
        <w:adjustRightInd w:val="0"/>
        <w:ind w:firstLine="709"/>
        <w:jc w:val="both"/>
      </w:pPr>
      <w:r w:rsidRPr="00E26D0B">
        <w:t xml:space="preserve">В городе успешно продолжают свою деятельность такие крупные федеральные ритейлеры и торговые организации, как: «ОꞌКей», «МЕТРО Кэш энд Керри», Х5 </w:t>
      </w:r>
      <w:r w:rsidRPr="00E26D0B">
        <w:rPr>
          <w:lang w:val="en-US"/>
        </w:rPr>
        <w:t>Retail</w:t>
      </w:r>
      <w:r w:rsidRPr="00E26D0B">
        <w:t xml:space="preserve"> </w:t>
      </w:r>
      <w:r w:rsidRPr="00E26D0B">
        <w:rPr>
          <w:lang w:val="en-US"/>
        </w:rPr>
        <w:t>Group</w:t>
      </w:r>
      <w:r w:rsidRPr="00E26D0B">
        <w:t xml:space="preserve">, «АШАН», «Лента», «Линия», «Европа», «Дикси», «Магнит» (открыто 3 магазина в 2017 году), «Красное&amp;Белое» и другие. Успешно работают и местные сетевые торговые предприятия: «Пролетарский» (открыто 2 </w:t>
      </w:r>
    </w:p>
    <w:p w:rsidR="00C64139" w:rsidRPr="00E26D0B" w:rsidRDefault="00C64139" w:rsidP="0005442A">
      <w:pPr>
        <w:autoSpaceDE w:val="0"/>
        <w:autoSpaceDN w:val="0"/>
        <w:adjustRightInd w:val="0"/>
        <w:jc w:val="both"/>
      </w:pPr>
      <w:r w:rsidRPr="00E26D0B">
        <w:t>магазина в 2017 году), «Покупайка», «Липка», «Правильная корзинка», «Хомяк» и прочие. Открываются новые магазины «Мясник», «Моялино», «Петровский».</w:t>
      </w:r>
    </w:p>
    <w:p w:rsidR="00C64139" w:rsidRPr="00E26D0B" w:rsidRDefault="00C64139" w:rsidP="00C64139">
      <w:pPr>
        <w:autoSpaceDE w:val="0"/>
        <w:autoSpaceDN w:val="0"/>
        <w:adjustRightInd w:val="0"/>
        <w:ind w:firstLine="720"/>
        <w:jc w:val="both"/>
      </w:pPr>
      <w:r w:rsidRPr="00E26D0B">
        <w:t>Большую популярность у населения набирают специализированные магазины «Пекарня», а также объекты общественного питания нового формата – столовые.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 xml:space="preserve">Оборот розничной торговли по крупным и средним предприятиям в 2017 году составил </w:t>
      </w:r>
      <w:r w:rsidRPr="00E26D0B">
        <w:t>55960,4 млн. рублей</w:t>
      </w:r>
      <w:r w:rsidRPr="00E26D0B">
        <w:rPr>
          <w:szCs w:val="28"/>
        </w:rPr>
        <w:t xml:space="preserve"> или 104,4% к 2016 году. За январь-август 2018 года оборот розничной торговли по крупным и средним предприятиям составил 39906,6 млн. рублей или 108,1% к соответствующему периоду прошлого года.</w:t>
      </w:r>
    </w:p>
    <w:p w:rsidR="00C64139" w:rsidRPr="00E26D0B" w:rsidRDefault="00C64139" w:rsidP="00C64139">
      <w:pPr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 xml:space="preserve">По оценке на конец 2018 года оборот розничной торговли составит 58198,8 млн. рублей или 104% к 2017 году. </w:t>
      </w:r>
    </w:p>
    <w:p w:rsidR="00C64139" w:rsidRPr="00E26D0B" w:rsidRDefault="00C64139" w:rsidP="00C64139">
      <w:pPr>
        <w:autoSpaceDE w:val="0"/>
        <w:autoSpaceDN w:val="0"/>
        <w:adjustRightInd w:val="0"/>
        <w:ind w:firstLine="720"/>
        <w:jc w:val="both"/>
      </w:pPr>
      <w:r w:rsidRPr="00E26D0B">
        <w:t>По состоянию на 01.01.2018 года в городе функционирует 581 предприятие общественного питания (из них 374 общедоступных), с общим количеством посадочных мест 20 820.</w:t>
      </w:r>
    </w:p>
    <w:p w:rsidR="00C64139" w:rsidRPr="00E26D0B" w:rsidRDefault="00C64139" w:rsidP="00C64139">
      <w:pPr>
        <w:pStyle w:val="2a"/>
        <w:shd w:val="clear" w:color="auto" w:fill="auto"/>
        <w:spacing w:before="0"/>
        <w:ind w:firstLine="700"/>
        <w:jc w:val="both"/>
      </w:pPr>
      <w:r w:rsidRPr="00E26D0B">
        <w:rPr>
          <w:color w:val="000000"/>
          <w:lang w:bidi="ru-RU"/>
        </w:rPr>
        <w:t xml:space="preserve"> Крупными и средними предприятиями общественного питания в 2017 году было оказано услуг на сумму 980,9 млн. рублей или 110,0% к 2016 году. </w:t>
      </w:r>
      <w:r w:rsidRPr="00E26D0B">
        <w:t>За январь-август 2018 года</w:t>
      </w:r>
      <w:r w:rsidRPr="00E26D0B">
        <w:rPr>
          <w:color w:val="000000"/>
          <w:lang w:bidi="ru-RU"/>
        </w:rPr>
        <w:t xml:space="preserve"> </w:t>
      </w:r>
      <w:r w:rsidRPr="00E26D0B">
        <w:t xml:space="preserve">оборот общественного питания по крупным и средним предприятиям составил 671,4 млн. рублей или 101,8% к соответствующему периоду прошлого года. </w:t>
      </w:r>
      <w:r w:rsidRPr="00E26D0B">
        <w:rPr>
          <w:color w:val="000000"/>
          <w:lang w:bidi="ru-RU"/>
        </w:rPr>
        <w:t>По оценке на конец 2018 года оборот общественного питания составит 1010,3 млн. рублей или 103% к 2017 году.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  <w:rPr>
          <w:szCs w:val="28"/>
        </w:rPr>
      </w:pPr>
      <w:r w:rsidRPr="00E26D0B">
        <w:rPr>
          <w:szCs w:val="28"/>
        </w:rPr>
        <w:t>Прогноз оборота розничной торговли и общественного питания по крупным и средним предприятиям за 2017 год, их оценка на 2018 год и прогноз на 2019–2021 годы представлены в таблице 4.1.</w:t>
      </w:r>
    </w:p>
    <w:p w:rsidR="00163BB9" w:rsidRPr="00477550" w:rsidRDefault="00163BB9" w:rsidP="00C64139">
      <w:pPr>
        <w:ind w:left="360"/>
        <w:jc w:val="right"/>
        <w:rPr>
          <w:szCs w:val="28"/>
        </w:rPr>
      </w:pPr>
    </w:p>
    <w:p w:rsidR="00C64139" w:rsidRPr="00E26D0B" w:rsidRDefault="00C64139" w:rsidP="00C64139">
      <w:pPr>
        <w:ind w:left="360"/>
        <w:jc w:val="right"/>
        <w:rPr>
          <w:szCs w:val="28"/>
        </w:rPr>
      </w:pPr>
      <w:r w:rsidRPr="00E26D0B">
        <w:rPr>
          <w:szCs w:val="28"/>
        </w:rPr>
        <w:t>Таблица 4.1</w:t>
      </w:r>
    </w:p>
    <w:p w:rsidR="00C64139" w:rsidRPr="00E26D0B" w:rsidRDefault="00C64139" w:rsidP="00C64139">
      <w:pPr>
        <w:ind w:left="360"/>
        <w:jc w:val="center"/>
        <w:rPr>
          <w:b/>
          <w:szCs w:val="28"/>
        </w:rPr>
      </w:pPr>
    </w:p>
    <w:p w:rsidR="00C64139" w:rsidRPr="00E26D0B" w:rsidRDefault="00C64139" w:rsidP="00C64139">
      <w:pPr>
        <w:ind w:left="360"/>
        <w:jc w:val="center"/>
        <w:rPr>
          <w:b/>
          <w:szCs w:val="28"/>
        </w:rPr>
      </w:pPr>
      <w:r w:rsidRPr="00E26D0B">
        <w:rPr>
          <w:b/>
          <w:szCs w:val="28"/>
        </w:rPr>
        <w:t xml:space="preserve">Основные показатели по потребительскому рынку </w:t>
      </w:r>
    </w:p>
    <w:p w:rsidR="00C64139" w:rsidRPr="00E26D0B" w:rsidRDefault="00C64139" w:rsidP="00C64139">
      <w:pPr>
        <w:ind w:left="360"/>
        <w:jc w:val="center"/>
        <w:rPr>
          <w:b/>
          <w:szCs w:val="28"/>
        </w:rPr>
      </w:pPr>
      <w:r w:rsidRPr="00E26D0B">
        <w:rPr>
          <w:b/>
          <w:szCs w:val="28"/>
        </w:rPr>
        <w:t>крупных и средних организаций</w:t>
      </w:r>
    </w:p>
    <w:p w:rsidR="00C64139" w:rsidRPr="00E26D0B" w:rsidRDefault="00C64139" w:rsidP="00C64139">
      <w:pPr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850"/>
        <w:gridCol w:w="1417"/>
        <w:gridCol w:w="1276"/>
        <w:gridCol w:w="1290"/>
        <w:gridCol w:w="1634"/>
      </w:tblGrid>
      <w:tr w:rsidR="00C64139" w:rsidRPr="00E26D0B" w:rsidTr="00783ABD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Оборот розничной торговли</w:t>
            </w:r>
          </w:p>
        </w:tc>
      </w:tr>
      <w:tr w:rsidR="00C64139" w:rsidRPr="00E26D0B" w:rsidTr="00783ABD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55960,4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58198,8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60526,8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62947,9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65465,8</w:t>
            </w:r>
          </w:p>
        </w:tc>
      </w:tr>
      <w:tr w:rsidR="00C64139" w:rsidRPr="00E26D0B" w:rsidTr="00783ABD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64139" w:rsidRPr="00E26D0B" w:rsidTr="00783ABD"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Оборот общественного питания</w:t>
            </w:r>
          </w:p>
        </w:tc>
      </w:tr>
      <w:tr w:rsidR="00C64139" w:rsidRPr="00E26D0B" w:rsidTr="00783ABD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1040,6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1071,8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1104,0</w:t>
            </w:r>
          </w:p>
        </w:tc>
      </w:tr>
      <w:tr w:rsidR="00C64139" w:rsidRPr="00E26D0B" w:rsidTr="00783ABD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 xml:space="preserve">в % к предыдущему году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103,0</w:t>
            </w:r>
          </w:p>
        </w:tc>
      </w:tr>
    </w:tbl>
    <w:p w:rsidR="00C64139" w:rsidRPr="00E26D0B" w:rsidRDefault="00C64139" w:rsidP="00C64139">
      <w:pPr>
        <w:jc w:val="center"/>
        <w:rPr>
          <w:b/>
        </w:rPr>
      </w:pPr>
    </w:p>
    <w:p w:rsidR="00C64139" w:rsidRPr="00E26D0B" w:rsidRDefault="00C64139" w:rsidP="00C64139">
      <w:pPr>
        <w:jc w:val="center"/>
        <w:rPr>
          <w:b/>
        </w:rPr>
      </w:pPr>
    </w:p>
    <w:p w:rsidR="00C64139" w:rsidRPr="00E26D0B" w:rsidRDefault="00C64139" w:rsidP="00C64139">
      <w:pPr>
        <w:jc w:val="center"/>
        <w:rPr>
          <w:b/>
        </w:rPr>
      </w:pPr>
      <w:r w:rsidRPr="00E26D0B">
        <w:rPr>
          <w:b/>
        </w:rPr>
        <w:t xml:space="preserve">5. ПРОМЫШЛЕННОСТЬ </w:t>
      </w:r>
    </w:p>
    <w:p w:rsidR="00C64139" w:rsidRPr="00E26D0B" w:rsidRDefault="00C64139" w:rsidP="00C64139">
      <w:pPr>
        <w:jc w:val="center"/>
        <w:rPr>
          <w:b/>
        </w:rPr>
      </w:pPr>
    </w:p>
    <w:p w:rsidR="00C64139" w:rsidRPr="00E26D0B" w:rsidRDefault="00C64139" w:rsidP="00C64139">
      <w:pPr>
        <w:ind w:firstLine="709"/>
        <w:jc w:val="both"/>
      </w:pPr>
      <w:r w:rsidRPr="00E26D0B">
        <w:t xml:space="preserve">Стабильность промышленного комплекса города – основа дальнейшего прогрессивного развития муниципального образования. Промышленность составляет основу экономики города Липецка и носит многоотраслевой характер. Основную долю в промышленном производстве занимают металлургия, пищевая промышленность, машиностроение. 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t>На сегодняшний день существует положительная тенденция роста промышленного производства на территории городского округа. Объем отгруженных товаров собственного производства, выполненных работ и услуг собственными силами крупных и средних организаций в 2017 году составил                 548918,5 млн. руб. или 114% к соответствующему периоду прошлого года, в том числе по видам деятельности, относящимся к промышленному производству - 510245,5 млн. руб. с темпом роста к 2016 году 114,8%.</w:t>
      </w:r>
    </w:p>
    <w:p w:rsidR="00C64139" w:rsidRPr="00E26D0B" w:rsidRDefault="00C64139" w:rsidP="00C64139">
      <w:pPr>
        <w:ind w:firstLine="709"/>
        <w:jc w:val="both"/>
      </w:pPr>
      <w:r w:rsidRPr="00E26D0B">
        <w:t xml:space="preserve">По объему промышленного производства Липецк уверенно занимает лидирующие позиции среди городов ЦФО. </w:t>
      </w:r>
    </w:p>
    <w:p w:rsidR="00C64139" w:rsidRPr="00E26D0B" w:rsidRDefault="00C64139" w:rsidP="00C64139">
      <w:pPr>
        <w:ind w:firstLine="708"/>
        <w:jc w:val="both"/>
      </w:pPr>
      <w:r w:rsidRPr="00E26D0B">
        <w:t xml:space="preserve">В 2017 году отмечен рост объемов выпуска продукции на предприятиях города Липецка, среди которых: ООО «Липецкий хладокомбинат» </w:t>
      </w:r>
      <w:r w:rsidRPr="00E26D0B">
        <w:rPr>
          <w:bCs/>
        </w:rPr>
        <w:t>–</w:t>
      </w:r>
      <w:r w:rsidRPr="00E26D0B">
        <w:t xml:space="preserve"> 101%, ООО «ЛПО «Электроаппарат» </w:t>
      </w:r>
      <w:r w:rsidRPr="00E26D0B">
        <w:rPr>
          <w:bCs/>
        </w:rPr>
        <w:t>–</w:t>
      </w:r>
      <w:r w:rsidRPr="00E26D0B">
        <w:t xml:space="preserve"> 109%, ОАО «Вторчермет» </w:t>
      </w:r>
      <w:r w:rsidRPr="00E26D0B">
        <w:rPr>
          <w:bCs/>
        </w:rPr>
        <w:t>–</w:t>
      </w:r>
      <w:r w:rsidRPr="00E26D0B">
        <w:t xml:space="preserve"> 142%.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Металлургический комплекс, являясь базовой отраслью, вносит существенный вклад в экономику города.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 xml:space="preserve">На фоне роста производительности основного оборудования на Липецкой площадке ПАО «НЛМК» в 2017 году установлен новый абсолютный рекорд производства стали за всю историю предприятия – 13,2 млн. тонн, что на 2% выше уровня 2016 года. Доменщики выпустили 12,84 млн. тонн чугуна. Самая мощная печь комбината «Россиянка» ежесуточно выпускала до 12,5 тыс. тонн чугуна, превышая проектные показатели почти на 40%. Такие результаты стали возможны благодаря совершенствованию всей технологической цепочки: от подготовки сырья до доменной плавки. 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 xml:space="preserve">Еще один абсолютный рекорд установили липецкие прокатчики, которые впервые в истории комбината выпустили 1,2 млн. тонн оцинкованного проката. 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 xml:space="preserve">Впервые с 1991 года в Липецке произвели почти 6,3 млн. тонн горячекатаной стали. 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>В 2017 году на Липецкой площадке ПАО «НЛМК» выпуск проката с покрытиями увеличился до 1,61 млн. тонн (+0,4%), трансформаторного проката – до 96 тыс. тонн (+18,4%), динамной стали – до 299 тыс. тонн (+1,3%). Более 2,62 млн. тонн кокса произвели липецкие коксохимики (+0,4%).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E26D0B">
        <w:rPr>
          <w:szCs w:val="28"/>
        </w:rPr>
        <w:t>Объем производства стали на Липецкой площадке составляет около 18% всего производства стали в России и около 80% всей стальной продукции Группы</w:t>
      </w:r>
      <w:r w:rsidRPr="00E26D0B">
        <w:rPr>
          <w:color w:val="333333"/>
          <w:szCs w:val="28"/>
        </w:rPr>
        <w:t xml:space="preserve"> НЛМК.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Отечественная металлургия характеризуется устойчивой конкурентоспособностью на внутреннем рынке.  В прогнозируемом периоде ожидается, что доля импортных поставок во внутреннем потреблении будет сокращаться как за счет переориентации части экспортных поставок на внутренний рынок, так и за счет ввода, в том числе импортозамещающих, современных мощностей. Планируется такой же стабильный поступательный рост.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В металлургии инвестиционная политика в основном будет базироваться на реконструкции и модернизации действующих производств (техническое перевооружение, капитальные ремонты, реконструкции и прочее).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На конец 2017 года отгружено товаров собственного производства, выполнено работ и услуг собственными силами инновационного характера на 39301,6 млн. рублей, что составляет 87,0% к уровню 2016 года. Доля инновационных товаров и услуг в общем объеме отгруженных товаров, выполненных работ и услуг составила 7,2%.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Основная часть инновационной продукции выпускается на предприятиях, которые используют технологические инновации в рамках инновационных стратегий развития своего бизнеса. Это, в первую очередь, ПАО «НЛМК», АО «ИНДЕЗИТ ИНТЕРНЭШНЛ», ОАО ЛОЭЗ «Гидромаш», ООО «Промизделия» и др.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В городе созданы основные элементы инновационной инфраструктуры, совершенствуется нормативно-правовая база.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Законом от 27.10.2010 № 425-ОЗ «Об инновационной деятельности в Липецкой области» предусмотрено формирование областного реестра инновационных проектов. Включение проекта в реестр дает право соответствующему субъекту инновационной деятельности на получение государственной поддержки в виде субсидий на реализацию проектов, предоставление налоговых льгот.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По состоянию на 15.06.2017 в областной реестр Липецкой области входит 48 инновационных проекта предприятий региона, в том числе 32 проекта предприятий города Липецка.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Одним из инструментов диверсификации экономики города по ее выходу на инновационный путь развития определено формирование в Липецке уникальной среды для активного развития инновационного бизнеса, производства научно-технической продукции.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Ключевым инвестиционным проектом по данному направлению является открытие на территории города особой экономической зоны регионального уровня технико-внедренческого типа «Липецк-Технополюс».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В качестве инструмента функционирования ОЭЗ постановлением администрации города Липецка от 02.02.2012 № 113 «О создании муниципального бюджетного учреждения «Технопарк-Липецк» создано бюджетное учреждение.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Целью деятельности данного учреждения является оказание поддержки и содействия развитию малого и среднего предпринимательства в инновационной и производственной сферах на территории города Липецка.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В целях создания условий для повышения конкурентоспособности субъектов малого и среднего бизнеса, занятых в научно-инновационной сфере и реализации мероприятий по подготовке площадок для размещения резидентов и инфраструктуры технопарка на реконструкцию объектов в 2017 году было выделено </w:t>
      </w:r>
      <w:r w:rsidRPr="00E26D0B">
        <w:t>38997,8 тыс. рублей</w:t>
      </w:r>
      <w:r w:rsidRPr="00E26D0B">
        <w:rPr>
          <w:color w:val="000000"/>
          <w:szCs w:val="28"/>
        </w:rPr>
        <w:t xml:space="preserve">, </w:t>
      </w:r>
      <w:r w:rsidRPr="00E26D0B">
        <w:t>в том числе из средств вышестоящих бюджетов    29997,8 тыс. рублей (76,9%)</w:t>
      </w:r>
      <w:r w:rsidRPr="00E26D0B">
        <w:rPr>
          <w:color w:val="000000"/>
          <w:szCs w:val="28"/>
        </w:rPr>
        <w:t>.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t>В рамках выделенных ассигнований в 2017 году выполнены следующие мероприятия: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t>- на 80% выполнены работы по реконструкции нежилых помещений (Литер Б) под лабораторный корпус (запланированный объем работ на 2017 год выполнен на 100%);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t>- в полном объеме подготовлена  проектно-сметная документация на реконструкцию производственных помещений (Литер Д, Е, Л-Л1) под единый корпус опытно-экспериментальных исследований (документация прошла государственную экспертизу и экспертизу достоверности сметной стоимости проекта).</w:t>
      </w:r>
    </w:p>
    <w:p w:rsidR="00C64139" w:rsidRPr="00E26D0B" w:rsidRDefault="00C64139" w:rsidP="00C64139">
      <w:pPr>
        <w:widowControl w:val="0"/>
        <w:ind w:firstLine="709"/>
        <w:jc w:val="both"/>
        <w:rPr>
          <w:szCs w:val="28"/>
          <w:lang w:eastAsia="en-US"/>
        </w:rPr>
      </w:pPr>
      <w:r w:rsidRPr="00E26D0B">
        <w:t>По состоянию на 31.12.2017 произведена реконструкция 7388,8 кв. м площади зданий (помещений), расположенных на территории технопарка, что составляет 60% всего имущественного комплекса.</w:t>
      </w:r>
      <w:r w:rsidRPr="00E26D0B">
        <w:rPr>
          <w:szCs w:val="28"/>
          <w:lang w:eastAsia="en-US"/>
        </w:rPr>
        <w:t xml:space="preserve"> </w:t>
      </w:r>
    </w:p>
    <w:p w:rsidR="00C64139" w:rsidRPr="00E26D0B" w:rsidRDefault="00C64139" w:rsidP="00C64139">
      <w:pPr>
        <w:widowControl w:val="0"/>
        <w:ind w:firstLine="709"/>
        <w:jc w:val="both"/>
      </w:pPr>
      <w:r w:rsidRPr="00E26D0B">
        <w:rPr>
          <w:szCs w:val="28"/>
          <w:lang w:eastAsia="en-US"/>
        </w:rPr>
        <w:t>В 2017 году в технопарке осуществляли деятельность 18 резидентов: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«РИСТЭМстрой» (производство полистиролбетонных смесей и блоков с облицовкой (теплоблоков));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ЗАО «ЛиГИз-Прибор» (производство инновационного геофизического оборудования);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«Строительные Новейшие Энергосберегающие Технологии» (производство водяных инфракрасных потолочных систем отопления для промышленных и гражданских помещений);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«Союз Рубин-Полимер» (производство упаковочных изделий с функцией биоразложения для медицинских и бытовых отходов);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ООО «Завод Светотехнической Продукции» (производство по выпуску энергосберегающих светодиодных светильников);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«ГСКС «Профи» (создание программного решения для комплексной автоматизации деятельности органов государственного и муниципального образования);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«НПК «Созвездие» (производство высокочистого марганца);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«ТЕХНОТОРГ» (разработка моделей познавательных развивающих детских игровых панелей);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«НПП «Терраватт» (производство электрических трансформаторных подстанций и комплектующих к ним);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«Центр проектирования и изысканий» (проведение ультразвукового метода неразрушающего контроля с использованием преобразователей в виде фазированных решеток);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«Приоритет» (производство комплектующих для систем видеонаблюдения, обладающих защищенными каналами данных, удаленным управлением с ПК и мобильных устройств);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ООО «ИнтерЭкоТехнологии» (разработка комплектующих для производства светодиодных светильников);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«МедСофт» (создание современной комплексной медицинской информационной системы);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«Утилизация Оргтехники» (производство продукции Гранулы АБС и 3</w:t>
      </w:r>
      <w:r w:rsidRPr="00E26D0B">
        <w:rPr>
          <w:color w:val="000000"/>
          <w:szCs w:val="28"/>
          <w:lang w:val="en-US"/>
        </w:rPr>
        <w:t>d</w:t>
      </w:r>
      <w:r w:rsidRPr="00E26D0B">
        <w:rPr>
          <w:color w:val="000000"/>
          <w:szCs w:val="28"/>
        </w:rPr>
        <w:t xml:space="preserve"> нить АБС путем переработки утилизированной оргтехники для уменьшения негативного воздейтсвия на окружающую среду);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ООО «Лаборатория Региональной Организации Содействия Экологии» </w:t>
      </w:r>
    </w:p>
    <w:p w:rsidR="00C64139" w:rsidRPr="00E26D0B" w:rsidRDefault="00C64139" w:rsidP="00C64139">
      <w:pPr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(совершенствование способов физико-химической диагностики почвенных горизонтов и внесения комплексных сорбентов детоксикации почв);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ООО «Перспектива» (разработка материалов для защиты помещений от электромагнитного излучения);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ООО «СК Профессионал» (совершенствование пропорционально-дозирующих насосов жидких растворов для  увеличения  энергоэффективности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</w:p>
    <w:p w:rsidR="00C64139" w:rsidRPr="00E26D0B" w:rsidRDefault="00C64139" w:rsidP="00C64139">
      <w:pPr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производственных процессов в различных отраслях);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ООО «Цифровая Экономика» (разработка агрегатора для анализа </w:t>
      </w:r>
      <w:r w:rsidRPr="00E26D0B">
        <w:rPr>
          <w:color w:val="000000"/>
          <w:szCs w:val="28"/>
          <w:lang w:val="en-US"/>
        </w:rPr>
        <w:t>ico</w:t>
      </w:r>
      <w:r w:rsidRPr="00E26D0B">
        <w:rPr>
          <w:color w:val="000000"/>
          <w:szCs w:val="28"/>
        </w:rPr>
        <w:t xml:space="preserve"> проектов).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В 2017 году объем налоговых платежей резидентов составил </w:t>
      </w:r>
      <w:r w:rsidRPr="00E26D0B">
        <w:t xml:space="preserve">2585,6 </w:t>
      </w:r>
      <w:r w:rsidRPr="00E26D0B">
        <w:rPr>
          <w:color w:val="000000"/>
          <w:szCs w:val="28"/>
        </w:rPr>
        <w:t>млн. рублей.</w:t>
      </w:r>
      <w:r w:rsidRPr="00E26D0B">
        <w:rPr>
          <w:szCs w:val="28"/>
        </w:rPr>
        <w:t xml:space="preserve"> За первое полугодие 2018 года в число резидентов входят 23 компании.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Стратегическим направлением деятельности в промышленной политике города является дальнейшее стимулирование инвестиций, повышение эффективности работы и конкурентоспособности предприятий.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При формировании прогноза по видам экономической деятельности за основу приняты тенденции развития крупных и средних предприятий, которые занимают наибольший удельный вес в соответствующем виде деятельности.</w:t>
      </w:r>
    </w:p>
    <w:p w:rsidR="00C64139" w:rsidRPr="00E26D0B" w:rsidRDefault="00C64139" w:rsidP="00C64139">
      <w:pPr>
        <w:ind w:firstLine="720"/>
        <w:jc w:val="both"/>
        <w:rPr>
          <w:szCs w:val="28"/>
        </w:rPr>
      </w:pPr>
      <w:r w:rsidRPr="00E26D0B">
        <w:rPr>
          <w:szCs w:val="28"/>
        </w:rPr>
        <w:t>За январь-август 2018 года объем отгруженных товаров собственного производства, выполненных работ и услуг по видам деятельности, относящимся к промышленному производству составил 402029,2 млн. рублей или 121,8% к соответствующему периоду 2017 года, в том числе по видам деятельности обрабатывающие производства – 385780,2 млн. рублей (122,5% к январю-августу 2017 года), обеспечение электрической энергией, газом и паром; кондиционирование воздуха – 12935,5млн. рублей (101,8% к январю-августу 2017 года), водоснабжение; водоотведение, организация сбора и утилизации отходов, деятельность по ликвидации загрязнений – 3313,5 млн. рублей (137,7% к январю-августу 2017 года).</w:t>
      </w:r>
    </w:p>
    <w:p w:rsidR="00C64139" w:rsidRPr="00E26D0B" w:rsidRDefault="00C64139" w:rsidP="00C64139">
      <w:pPr>
        <w:ind w:firstLine="720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 xml:space="preserve">Увеличение значений </w:t>
      </w:r>
      <w:r w:rsidRPr="00E26D0B">
        <w:rPr>
          <w:szCs w:val="28"/>
        </w:rPr>
        <w:t xml:space="preserve">объема отгруженных товаров собственного производства, выполненных работ и услуг </w:t>
      </w:r>
      <w:r w:rsidRPr="00E26D0B">
        <w:rPr>
          <w:color w:val="000000"/>
          <w:lang w:bidi="ru-RU"/>
        </w:rPr>
        <w:t xml:space="preserve">произошло вследствие роста средних цен реализации продукции на фоне сезонного роста продаж у ПАО «НЛМК». К концу 2018 года </w:t>
      </w:r>
      <w:r w:rsidRPr="00E26D0B">
        <w:rPr>
          <w:szCs w:val="28"/>
        </w:rPr>
        <w:t>объем отгруженных товаров собственного производства, выполненных работ и услуг</w:t>
      </w:r>
      <w:r w:rsidRPr="00E26D0B">
        <w:rPr>
          <w:color w:val="000000"/>
          <w:lang w:bidi="ru-RU"/>
        </w:rPr>
        <w:t xml:space="preserve"> крупных и средних организаций по </w:t>
      </w:r>
      <w:r w:rsidRPr="00E26D0B">
        <w:rPr>
          <w:szCs w:val="28"/>
        </w:rPr>
        <w:t xml:space="preserve">видам деятельности, относящимся к промышленному производству, </w:t>
      </w:r>
      <w:r w:rsidRPr="00E26D0B">
        <w:rPr>
          <w:color w:val="000000"/>
          <w:lang w:bidi="ru-RU"/>
        </w:rPr>
        <w:t xml:space="preserve">стабилизируется на уровне 110% и составит 561270 млн. рублей. 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Основные показатели объемов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организациям за 2017 год, их оценка на 2018 год и прогноз на 2019–2021 годы представлены в таблице 5.1.</w:t>
      </w:r>
    </w:p>
    <w:p w:rsidR="00C64139" w:rsidRPr="00E26D0B" w:rsidRDefault="00C64139" w:rsidP="00C64139">
      <w:pPr>
        <w:ind w:firstLine="720"/>
        <w:jc w:val="right"/>
        <w:rPr>
          <w:szCs w:val="28"/>
        </w:rPr>
      </w:pPr>
      <w:r w:rsidRPr="00E26D0B">
        <w:rPr>
          <w:szCs w:val="28"/>
        </w:rPr>
        <w:t> </w:t>
      </w:r>
      <w:r w:rsidRPr="00E26D0B">
        <w:rPr>
          <w:szCs w:val="28"/>
        </w:rPr>
        <w:t>Таблица 5.1</w:t>
      </w:r>
    </w:p>
    <w:p w:rsidR="00C64139" w:rsidRPr="00E26D0B" w:rsidRDefault="00C64139" w:rsidP="00C64139">
      <w:pPr>
        <w:ind w:firstLine="720"/>
        <w:jc w:val="right"/>
        <w:rPr>
          <w:szCs w:val="28"/>
        </w:rPr>
      </w:pPr>
    </w:p>
    <w:p w:rsidR="00C64139" w:rsidRPr="00E26D0B" w:rsidRDefault="00C64139" w:rsidP="00C64139">
      <w:pPr>
        <w:ind w:firstLine="720"/>
        <w:jc w:val="center"/>
        <w:rPr>
          <w:b/>
          <w:szCs w:val="28"/>
        </w:rPr>
      </w:pPr>
      <w:r w:rsidRPr="00E26D0B">
        <w:rPr>
          <w:b/>
          <w:szCs w:val="28"/>
        </w:rPr>
        <w:t>Основные показатели, относящиеся к промышленному производству по крупным и средним организациям</w:t>
      </w:r>
    </w:p>
    <w:p w:rsidR="00C64139" w:rsidRPr="00E26D0B" w:rsidRDefault="00C64139" w:rsidP="00C6413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1371"/>
        <w:gridCol w:w="1275"/>
        <w:gridCol w:w="1411"/>
        <w:gridCol w:w="1258"/>
      </w:tblGrid>
      <w:tr w:rsidR="00C64139" w:rsidRPr="00E26D0B" w:rsidTr="00783ABD">
        <w:trPr>
          <w:trHeight w:val="65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</w:tr>
      <w:tr w:rsidR="00C64139" w:rsidRPr="00E26D0B" w:rsidTr="00783ABD">
        <w:trPr>
          <w:trHeight w:val="32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510245,5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561270,0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597752,6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633617,8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668466,7</w:t>
            </w:r>
          </w:p>
        </w:tc>
      </w:tr>
      <w:tr w:rsidR="00C64139" w:rsidRPr="00E26D0B" w:rsidTr="00783ABD">
        <w:trPr>
          <w:trHeight w:val="42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105,5</w:t>
            </w:r>
          </w:p>
        </w:tc>
      </w:tr>
    </w:tbl>
    <w:p w:rsidR="00C64139" w:rsidRPr="00E26D0B" w:rsidRDefault="00C64139" w:rsidP="00C64139">
      <w:pPr>
        <w:jc w:val="both"/>
        <w:rPr>
          <w:szCs w:val="28"/>
        </w:rPr>
      </w:pPr>
    </w:p>
    <w:p w:rsidR="00C64139" w:rsidRPr="00E26D0B" w:rsidRDefault="00C64139" w:rsidP="00C64139">
      <w:pPr>
        <w:jc w:val="right"/>
        <w:rPr>
          <w:sz w:val="24"/>
          <w:szCs w:val="24"/>
        </w:rPr>
      </w:pPr>
      <w:r w:rsidRPr="00E26D0B">
        <w:rPr>
          <w:sz w:val="24"/>
          <w:szCs w:val="24"/>
        </w:rPr>
        <w:t>продолжение таблицы 5.1</w:t>
      </w:r>
    </w:p>
    <w:p w:rsidR="00C64139" w:rsidRPr="00E26D0B" w:rsidRDefault="00C64139" w:rsidP="00C6413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1371"/>
        <w:gridCol w:w="1275"/>
        <w:gridCol w:w="1411"/>
        <w:gridCol w:w="1258"/>
      </w:tblGrid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</w:p>
        </w:tc>
      </w:tr>
      <w:tr w:rsidR="00C64139" w:rsidRPr="00E26D0B" w:rsidTr="00783ABD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keepNext/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486136,9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536390,5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571900,7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606651,7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640387,5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115,3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105,6</w:t>
            </w:r>
          </w:p>
        </w:tc>
      </w:tr>
      <w:tr w:rsidR="00C64139" w:rsidRPr="00E26D0B" w:rsidTr="00783ABD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19999,6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20359,6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20970,4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21767,3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22594,5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103,8</w:t>
            </w:r>
          </w:p>
        </w:tc>
      </w:tr>
      <w:tr w:rsidR="00C64139" w:rsidRPr="00E26D0B" w:rsidTr="00783ABD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4109,0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4519,9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4881,5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5198,8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5484,7</w:t>
            </w:r>
          </w:p>
        </w:tc>
      </w:tr>
      <w:tr w:rsidR="00C64139" w:rsidRPr="00E26D0B" w:rsidTr="00783AB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105,5</w:t>
            </w:r>
          </w:p>
        </w:tc>
      </w:tr>
    </w:tbl>
    <w:p w:rsidR="00C64139" w:rsidRPr="00E26D0B" w:rsidRDefault="00C64139" w:rsidP="00C64139">
      <w:pPr>
        <w:rPr>
          <w:color w:val="000000"/>
          <w:sz w:val="20"/>
        </w:rPr>
      </w:pPr>
    </w:p>
    <w:p w:rsidR="00C64139" w:rsidRPr="00E26D0B" w:rsidRDefault="00C64139" w:rsidP="00C64139">
      <w:pPr>
        <w:rPr>
          <w:color w:val="000000"/>
          <w:sz w:val="20"/>
        </w:rPr>
      </w:pPr>
    </w:p>
    <w:p w:rsidR="00C64139" w:rsidRPr="00E26D0B" w:rsidRDefault="00C64139" w:rsidP="00C64139">
      <w:pPr>
        <w:ind w:left="360"/>
        <w:jc w:val="center"/>
        <w:rPr>
          <w:b/>
        </w:rPr>
      </w:pPr>
      <w:r w:rsidRPr="00E26D0B">
        <w:rPr>
          <w:b/>
        </w:rPr>
        <w:t>6. ИНВЕСТИЦИИ И СТРОИТЕЛЬСТВО</w:t>
      </w:r>
    </w:p>
    <w:p w:rsidR="00C64139" w:rsidRPr="00E26D0B" w:rsidRDefault="00C64139" w:rsidP="00C64139">
      <w:pPr>
        <w:ind w:left="720"/>
        <w:jc w:val="both"/>
        <w:rPr>
          <w:szCs w:val="28"/>
        </w:rPr>
      </w:pPr>
    </w:p>
    <w:p w:rsidR="00C64139" w:rsidRPr="00E26D0B" w:rsidRDefault="00C64139" w:rsidP="00C64139">
      <w:pPr>
        <w:ind w:firstLine="709"/>
        <w:jc w:val="both"/>
      </w:pPr>
      <w:r w:rsidRPr="00E26D0B">
        <w:rPr>
          <w:szCs w:val="28"/>
        </w:rPr>
        <w:t xml:space="preserve">Инвестиционный процесс является одним из главных инструментов в развитии экономики города. </w:t>
      </w:r>
      <w:r w:rsidRPr="00E26D0B">
        <w:t xml:space="preserve">Инвестиции имеют важное значение как для деятельности отдельных хозяйствующих субъектов, так и для экономического развития муниципального образования и страны в целом. </w:t>
      </w:r>
    </w:p>
    <w:p w:rsidR="00C64139" w:rsidRPr="00E26D0B" w:rsidRDefault="00C64139" w:rsidP="00C64139">
      <w:pPr>
        <w:ind w:firstLine="709"/>
        <w:jc w:val="both"/>
      </w:pPr>
      <w:r w:rsidRPr="00E26D0B">
        <w:t>Экономический рост определяется множеством факторов, важнейшим из которых выступает рост объема инвестиций и повышение их эффективности. Реальное инвестирование играет особую роль в экономическом развитии, так как без него невозможно обновление и расширение основных производственных фондов хозяйствующих субъектов.</w:t>
      </w:r>
    </w:p>
    <w:p w:rsidR="00C64139" w:rsidRPr="00E26D0B" w:rsidRDefault="00C64139" w:rsidP="00C64139">
      <w:pPr>
        <w:ind w:firstLine="709"/>
        <w:jc w:val="both"/>
      </w:pPr>
      <w:r w:rsidRPr="00E26D0B">
        <w:t xml:space="preserve">Уровень инвестиционной активности и диапазон инвестиционной деятельности в значительной мере влияет на эффективность функционирования хозяйствующих субъектов в долгосрочной перспективе, их развитие и конкурентоспособность. </w:t>
      </w:r>
    </w:p>
    <w:p w:rsidR="00C64139" w:rsidRPr="00E26D0B" w:rsidRDefault="00C64139" w:rsidP="00C64139">
      <w:pPr>
        <w:ind w:firstLine="709"/>
        <w:jc w:val="both"/>
      </w:pPr>
      <w:r w:rsidRPr="00E26D0B">
        <w:t>Формирование благоприятного инвестиционного климата, а также возрастающие инвестиционные возможности предприятий предоставляют акционерам и менеджерам обширное поле деятельности для принятия стратегических и оперативных инвестиционных решений.</w:t>
      </w:r>
    </w:p>
    <w:p w:rsidR="00C64139" w:rsidRPr="00E26D0B" w:rsidRDefault="00C64139" w:rsidP="00C64139">
      <w:pPr>
        <w:widowControl w:val="0"/>
        <w:ind w:firstLine="709"/>
        <w:jc w:val="both"/>
        <w:rPr>
          <w:color w:val="000000"/>
        </w:rPr>
      </w:pPr>
      <w:r w:rsidRPr="00E26D0B">
        <w:rPr>
          <w:szCs w:val="28"/>
        </w:rPr>
        <w:t xml:space="preserve">За 2017 год крупными и средними организациями всех форм собственности было освоено </w:t>
      </w:r>
      <w:r w:rsidRPr="00E26D0B">
        <w:rPr>
          <w:color w:val="000000"/>
        </w:rPr>
        <w:t xml:space="preserve">31822,7 млн. рублей </w:t>
      </w:r>
      <w:r w:rsidRPr="00E26D0B">
        <w:rPr>
          <w:szCs w:val="28"/>
        </w:rPr>
        <w:t xml:space="preserve">инвестиций </w:t>
      </w:r>
      <w:r w:rsidRPr="00E26D0B">
        <w:rPr>
          <w:color w:val="000000"/>
        </w:rPr>
        <w:t>или 89,9% (в сопоставимых ценах) к прошлому периоду.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Основной объем инвестиций в основной капитал в 2017 году был направлен на развитие следующих видов экономической деятельности: металлургическое производство и производство готовых металлических изделий, производство пищевых продуктов, включая напитки, производство и распределение электроэнергии, газа и воды.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Инвестиции в основной капитал на душу населения по городу Липецку за 2017 год составили 62,4 тыс. рублей, что на 8,8% ниже уровня 2016 года.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По источникам финансирования инвестиции в основной капитал распределяются следующим образом: 79,2% – собственные средства организаций; 20,8% – привлеченные средства.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В 2017 году в промышленном комплексе продолжалась работа по реализации инвестиционных проектов, модернизации производства, вводу новых мощностей.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На ряде промышленных предприятий города введены в эксплуатацию дополнительные мощности, освоены новые виды продукции и технологии, проведены мероприятия, направленные на повышение производительности труда, энергосбережение, обеспечение экологической безопасности.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 xml:space="preserve">В 2017 году на Липецкой площадке ПАО «НЛМК» на 90% доменных мощностей внедрили ресурсосберегающую технологию вдувания пылеугольного топлива, завершили проект «Стратегии Группы НЛМК – 2017 по модернизации АНГЦ-1», что повысило производительность агрегата на 150 тыс. тонн. </w:t>
      </w:r>
    </w:p>
    <w:p w:rsidR="00C64139" w:rsidRPr="00E26D0B" w:rsidRDefault="00C64139" w:rsidP="00C64139">
      <w:pPr>
        <w:shd w:val="clear" w:color="auto" w:fill="FFFFFF"/>
        <w:ind w:firstLine="709"/>
        <w:jc w:val="both"/>
        <w:rPr>
          <w:szCs w:val="28"/>
        </w:rPr>
      </w:pPr>
      <w:r w:rsidRPr="00E26D0B">
        <w:rPr>
          <w:szCs w:val="28"/>
        </w:rPr>
        <w:t>Впервые с 1991 года в Липецке произвели почти 6,3 млн. тонн горячекатаной стали. Рост производительности стана «2000» обеспечили мероприятия по снижению внеплановых простоев, увеличению скорости прокатки и повышению качества продукции.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В 2017 году за счет внедрения новых технологий на Липецкой площадке ПАО «НЛМК» произошло снижение потребления дорогостоящих ресурсов к уровню 2013 года: энергии на 6%, коксующегося угля – 14%, природного газа – 26%.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 xml:space="preserve">Группой НЛМК планируется инвестировать в природоохранные мероприятия и проекты на предприятиях в рамках экологической программы до 2020 года свыше 10 млрд. рублей. Основная часть этих средств будет вложена на Липецкой производственной площадке. </w:t>
      </w:r>
    </w:p>
    <w:p w:rsidR="00C64139" w:rsidRPr="00E26D0B" w:rsidRDefault="00C64139" w:rsidP="00C64139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2A2A2A"/>
          <w:szCs w:val="28"/>
        </w:rPr>
      </w:pPr>
      <w:r w:rsidRPr="00E26D0B">
        <w:rPr>
          <w:bCs/>
          <w:color w:val="2A2A2A"/>
          <w:szCs w:val="28"/>
        </w:rPr>
        <w:t xml:space="preserve">В 2017 году АО «ПРОГРЕСС» </w:t>
      </w:r>
      <w:r w:rsidRPr="00E26D0B">
        <w:rPr>
          <w:color w:val="333333"/>
          <w:szCs w:val="28"/>
          <w:shd w:val="clear" w:color="auto" w:fill="FFFFFF"/>
        </w:rPr>
        <w:t>введен в эксплуатацию комплекс по производству цельномолочной продукции мощностью 116,2 тонн в сутки.</w:t>
      </w:r>
    </w:p>
    <w:p w:rsidR="00C64139" w:rsidRPr="00E26D0B" w:rsidRDefault="00C64139" w:rsidP="00C64139">
      <w:pPr>
        <w:ind w:firstLine="709"/>
        <w:jc w:val="both"/>
        <w:rPr>
          <w:bCs/>
          <w:color w:val="2A2A2A"/>
          <w:szCs w:val="28"/>
        </w:rPr>
      </w:pPr>
      <w:r w:rsidRPr="00E26D0B">
        <w:rPr>
          <w:bCs/>
          <w:color w:val="2A2A2A"/>
          <w:szCs w:val="28"/>
        </w:rPr>
        <w:t>Бренд «ФрутоНяня» первым из крупнейших производителей детского питания в России запустил линию по производству мясных пюре, изготовленных по стандарту «Халяль».</w:t>
      </w:r>
    </w:p>
    <w:p w:rsidR="00C64139" w:rsidRPr="00E26D0B" w:rsidRDefault="00C64139" w:rsidP="00C64139">
      <w:pPr>
        <w:ind w:firstLine="709"/>
        <w:jc w:val="both"/>
        <w:rPr>
          <w:color w:val="000000"/>
        </w:rPr>
      </w:pPr>
      <w:r w:rsidRPr="00E26D0B">
        <w:rPr>
          <w:color w:val="000000"/>
        </w:rPr>
        <w:t>В 2017 году введен в эксплуатацию новый цех по производству шлифовальных станков на «Липецком станкостроительном предприятии», современный производственно-логистический комплекс упаковки и отгрузки цемента в компании «Липецкцемент». Активно проводили модернизацию и другие предприятия.</w:t>
      </w:r>
    </w:p>
    <w:p w:rsidR="00C64139" w:rsidRPr="00E26D0B" w:rsidRDefault="00C64139" w:rsidP="00C64139">
      <w:pPr>
        <w:ind w:firstLine="709"/>
        <w:jc w:val="both"/>
        <w:rPr>
          <w:color w:val="000000"/>
        </w:rPr>
      </w:pPr>
      <w:r w:rsidRPr="00E26D0B">
        <w:rPr>
          <w:color w:val="000000"/>
          <w:lang w:bidi="ru-RU"/>
        </w:rPr>
        <w:t xml:space="preserve">За январь-июнь 2018 года </w:t>
      </w:r>
      <w:r w:rsidRPr="00E26D0B">
        <w:rPr>
          <w:szCs w:val="28"/>
        </w:rPr>
        <w:t xml:space="preserve">объем инвестиций в основной капитал за счет всех источников финансирования по крупным и средним организациям </w:t>
      </w:r>
      <w:r w:rsidRPr="00E26D0B">
        <w:rPr>
          <w:color w:val="000000"/>
          <w:lang w:bidi="ru-RU"/>
        </w:rPr>
        <w:t xml:space="preserve"> составил 16105,7 млн. рублей или 130,2% </w:t>
      </w:r>
      <w:r w:rsidRPr="00E26D0B">
        <w:rPr>
          <w:color w:val="000000"/>
        </w:rPr>
        <w:t xml:space="preserve">(в сопоставимых ценах) </w:t>
      </w:r>
      <w:r w:rsidRPr="00E26D0B">
        <w:rPr>
          <w:color w:val="000000"/>
          <w:lang w:bidi="ru-RU"/>
        </w:rPr>
        <w:t>к уровню января-июня 2017 года.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По оценке в 2018 году объем инвестиций в основной капитал за счет всех источников финансирования по крупным и средним организациям составит               33919,8 млн. рублей.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Рост инвестиций в основной капитал в 2019–2021 годах будет определяться возможностью наращивания частных инвестиций на фоне сокращения муниципальных расходов.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Одним из факторов восстановления роста будет положительная динамика инвестиций в строительный комплекс и операции с недвижимым имуществом.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Основными направлениями восстановления инвестиционной активности в обрабатывающей промышленности выступят металлургическое производство и машиностроительный комплекс.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Основными источниками финансирования инвестиционных проектов, обеспечивающих экономический рост города, в основном, останутся собственные средства предприятий и организаций.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t>Градостроительная деятельность, являясь основой территориального планирования и составной частью процесса управления развитием территории города Липецка, нацелена на создание безопасных и благоприятных условий жизнедеятельности населения и производства, ограничение влияния негативного воздействия хозяйственной и иной деятельности на окружающую среду, обеспечение охраны и рационального использования природных ресурсов.</w:t>
      </w:r>
    </w:p>
    <w:p w:rsidR="00C64139" w:rsidRPr="00E26D0B" w:rsidRDefault="00C64139" w:rsidP="00C64139">
      <w:pPr>
        <w:ind w:firstLine="720"/>
        <w:jc w:val="both"/>
      </w:pPr>
      <w:r w:rsidRPr="00E26D0B">
        <w:t>Уровень развития строительной отрасли города Липецка характеризуется объемами вводимого жилья и социально значимых объектов.</w:t>
      </w:r>
    </w:p>
    <w:p w:rsidR="00C64139" w:rsidRPr="00E26D0B" w:rsidRDefault="00C64139" w:rsidP="00C64139">
      <w:pPr>
        <w:ind w:firstLine="720"/>
        <w:jc w:val="both"/>
      </w:pPr>
      <w:r w:rsidRPr="00E26D0B">
        <w:t>Жилищную застройку территории города с привлечением частных инвестиций осуществляют коммерческие строительные организации – АО «ДСК», АО «Липецкая ипотечная корпорация», АО «Ремстройсервис», ООО СУ-11 «Липецкстрой-Л», ОАО трест «Липецкстрой», ООО «Глобус-98» и другие.</w:t>
      </w:r>
    </w:p>
    <w:p w:rsidR="00C64139" w:rsidRPr="00E26D0B" w:rsidRDefault="00C64139" w:rsidP="00C64139">
      <w:pPr>
        <w:pStyle w:val="aff"/>
        <w:jc w:val="both"/>
        <w:rPr>
          <w:sz w:val="28"/>
          <w:szCs w:val="28"/>
        </w:rPr>
      </w:pPr>
      <w:r w:rsidRPr="00E26D0B">
        <w:tab/>
      </w:r>
      <w:r w:rsidRPr="00E26D0B">
        <w:rPr>
          <w:sz w:val="28"/>
          <w:szCs w:val="28"/>
        </w:rPr>
        <w:t>В 2017 году основными микрорайонами, в которых осуществлялась комплексная застройка, являлись 29, 30-31, 32-33, «Елецкий», «Звездный», «Университетский». При комплексной застройке наряду с жилыми домами возводятся школы, детские дошкольные учреждения, объекты здравоохранения и торговли.</w:t>
      </w:r>
    </w:p>
    <w:p w:rsidR="00C64139" w:rsidRPr="00E26D0B" w:rsidRDefault="00C64139" w:rsidP="00C64139">
      <w:pPr>
        <w:pStyle w:val="aff"/>
        <w:ind w:firstLine="709"/>
        <w:jc w:val="both"/>
        <w:rPr>
          <w:color w:val="000000"/>
          <w:sz w:val="28"/>
          <w:szCs w:val="28"/>
          <w:lang w:bidi="ru-RU"/>
        </w:rPr>
      </w:pPr>
      <w:r w:rsidRPr="00E26D0B">
        <w:rPr>
          <w:color w:val="000000"/>
          <w:sz w:val="28"/>
          <w:szCs w:val="28"/>
          <w:lang w:bidi="ru-RU"/>
        </w:rPr>
        <w:t>В связи с значительными объемами вводимого жилья, что привело к перенасыщению рынка жилой недвижимости, нехваткой собственных оборотных средств при растущей стоимости стройматериалов и достаточно высоких процентных ставках по кредитам, ужесточением требований к строительным компаниям из-за участившихся случаев невыполнения застройщиками своих обязательств по передаче в установленный срок объектов долевого строительства в 2017 году, в 2018 году намечается тенденция спада строительства и ввода в эксплуатацию жилья в городе Липецке.</w:t>
      </w:r>
    </w:p>
    <w:p w:rsidR="00C64139" w:rsidRPr="00E26D0B" w:rsidRDefault="00C64139" w:rsidP="00C64139">
      <w:pPr>
        <w:pStyle w:val="aff"/>
        <w:ind w:firstLine="709"/>
        <w:jc w:val="both"/>
        <w:rPr>
          <w:color w:val="000000"/>
          <w:sz w:val="28"/>
          <w:szCs w:val="28"/>
          <w:lang w:bidi="ru-RU"/>
        </w:rPr>
      </w:pPr>
      <w:r w:rsidRPr="00E26D0B">
        <w:rPr>
          <w:color w:val="000000"/>
          <w:sz w:val="28"/>
          <w:szCs w:val="28"/>
          <w:lang w:bidi="ru-RU"/>
        </w:rPr>
        <w:t>В соответствии с программой строительства и ввода жилья в городе Липецке на 2018 год, составленной по информации застройщиков, планируется ввести в текущем году 401134 кв. м. жилья, что составляет 71% от площади введенного в эксплуатацию жилья в 2017 году.</w:t>
      </w:r>
    </w:p>
    <w:p w:rsidR="00C64139" w:rsidRPr="00E26D0B" w:rsidRDefault="00C64139" w:rsidP="00C64139">
      <w:pPr>
        <w:jc w:val="both"/>
        <w:rPr>
          <w:szCs w:val="28"/>
        </w:rPr>
      </w:pPr>
      <w:r w:rsidRPr="00E26D0B">
        <w:rPr>
          <w:szCs w:val="28"/>
        </w:rPr>
        <w:tab/>
        <w:t>Основные показатели по объему инвестиций в основной капитал и строительство в 2017 году, оценка на 2018 года и прогноз на 2019–2021 годы приведены в таблице 6.1.</w:t>
      </w:r>
    </w:p>
    <w:p w:rsidR="00C64139" w:rsidRPr="00E26D0B" w:rsidRDefault="00C64139" w:rsidP="00C64139">
      <w:pPr>
        <w:jc w:val="right"/>
      </w:pP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  <w:r w:rsidRPr="00E26D0B">
        <w:rPr>
          <w:szCs w:val="28"/>
        </w:rPr>
        <w:tab/>
      </w:r>
    </w:p>
    <w:p w:rsidR="00C64139" w:rsidRPr="00E26D0B" w:rsidRDefault="00C64139" w:rsidP="00C64139">
      <w:pPr>
        <w:jc w:val="right"/>
      </w:pPr>
    </w:p>
    <w:p w:rsidR="00C64139" w:rsidRPr="00E26D0B" w:rsidRDefault="00C64139" w:rsidP="00C64139">
      <w:pPr>
        <w:jc w:val="right"/>
      </w:pPr>
      <w:r w:rsidRPr="00E26D0B">
        <w:t>Таблица  6.1</w:t>
      </w:r>
    </w:p>
    <w:p w:rsidR="00C64139" w:rsidRPr="00E26D0B" w:rsidRDefault="00C64139" w:rsidP="00C64139">
      <w:pPr>
        <w:jc w:val="center"/>
        <w:rPr>
          <w:b/>
          <w:szCs w:val="28"/>
        </w:rPr>
      </w:pPr>
    </w:p>
    <w:p w:rsidR="00C64139" w:rsidRPr="00E26D0B" w:rsidRDefault="00C64139" w:rsidP="00C64139">
      <w:pPr>
        <w:jc w:val="center"/>
        <w:rPr>
          <w:b/>
          <w:szCs w:val="28"/>
        </w:rPr>
      </w:pPr>
      <w:r w:rsidRPr="00E26D0B">
        <w:rPr>
          <w:b/>
          <w:szCs w:val="28"/>
        </w:rPr>
        <w:t xml:space="preserve">Основные показатели по объему инвестиций в основной капитал </w:t>
      </w:r>
    </w:p>
    <w:p w:rsidR="00C64139" w:rsidRPr="00E26D0B" w:rsidRDefault="00C64139" w:rsidP="00C64139">
      <w:pPr>
        <w:jc w:val="center"/>
        <w:rPr>
          <w:b/>
          <w:szCs w:val="28"/>
        </w:rPr>
      </w:pPr>
      <w:r w:rsidRPr="00E26D0B">
        <w:rPr>
          <w:b/>
          <w:szCs w:val="28"/>
        </w:rPr>
        <w:t>и строительство</w:t>
      </w:r>
    </w:p>
    <w:p w:rsidR="00C64139" w:rsidRPr="00E26D0B" w:rsidRDefault="00C64139" w:rsidP="00C6413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1318"/>
        <w:gridCol w:w="1276"/>
        <w:gridCol w:w="1276"/>
        <w:gridCol w:w="1275"/>
        <w:gridCol w:w="1418"/>
      </w:tblGrid>
      <w:tr w:rsidR="00C64139" w:rsidRPr="00E26D0B" w:rsidTr="00783A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 прогноз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Объем инвестиций в основной капитал (крупные и средние организации)</w:t>
            </w:r>
          </w:p>
        </w:tc>
      </w:tr>
      <w:tr w:rsidR="00C64139" w:rsidRPr="00E26D0B" w:rsidTr="00783A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31822,7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33919,8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36120,5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38353,5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40685,4</w:t>
            </w:r>
          </w:p>
        </w:tc>
      </w:tr>
      <w:tr w:rsidR="00C64139" w:rsidRPr="00E26D0B" w:rsidTr="00783A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 xml:space="preserve">в % к предыдущему году </w:t>
            </w:r>
          </w:p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(в сопоставимых ценах)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Ввод в действие жилых домов</w:t>
            </w:r>
          </w:p>
        </w:tc>
      </w:tr>
      <w:tr w:rsidR="00C64139" w:rsidRPr="00E26D0B" w:rsidTr="00783A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565192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409157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417340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425687</w:t>
            </w:r>
          </w:p>
        </w:tc>
      </w:tr>
      <w:tr w:rsidR="00C64139" w:rsidRPr="00E26D0B" w:rsidTr="00783A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102,0</w:t>
            </w:r>
          </w:p>
        </w:tc>
      </w:tr>
    </w:tbl>
    <w:p w:rsidR="00C64139" w:rsidRPr="00E26D0B" w:rsidRDefault="00C64139" w:rsidP="00C64139">
      <w:pPr>
        <w:jc w:val="center"/>
        <w:rPr>
          <w:b/>
        </w:rPr>
      </w:pPr>
    </w:p>
    <w:p w:rsidR="00C64139" w:rsidRPr="00E26D0B" w:rsidRDefault="00C64139" w:rsidP="00C64139">
      <w:pPr>
        <w:jc w:val="center"/>
        <w:rPr>
          <w:b/>
        </w:rPr>
      </w:pPr>
    </w:p>
    <w:p w:rsidR="00C64139" w:rsidRPr="00E26D0B" w:rsidRDefault="00C64139" w:rsidP="00C64139">
      <w:pPr>
        <w:jc w:val="center"/>
        <w:rPr>
          <w:b/>
        </w:rPr>
      </w:pPr>
      <w:r w:rsidRPr="00E26D0B">
        <w:rPr>
          <w:b/>
        </w:rPr>
        <w:t>7. МАЛОЕ И СРЕДНЕЕ ПРЕДПРИНИМАТЕЛЬСТВО</w:t>
      </w:r>
    </w:p>
    <w:p w:rsidR="00C64139" w:rsidRPr="00E26D0B" w:rsidRDefault="00C64139" w:rsidP="00C64139"/>
    <w:p w:rsidR="00C64139" w:rsidRPr="00E26D0B" w:rsidRDefault="00C64139" w:rsidP="00C64139">
      <w:pPr>
        <w:widowControl w:val="0"/>
        <w:ind w:firstLine="709"/>
        <w:jc w:val="both"/>
        <w:rPr>
          <w:szCs w:val="28"/>
        </w:rPr>
      </w:pPr>
      <w:r w:rsidRPr="00E26D0B">
        <w:rPr>
          <w:szCs w:val="28"/>
        </w:rPr>
        <w:t xml:space="preserve">Малое и среднее предпринимательство отличается гибкостью, мобильностью, во многом определяет темп экономического роста и производственную структуру городского хозяйства. </w:t>
      </w:r>
    </w:p>
    <w:p w:rsidR="00C64139" w:rsidRPr="00E26D0B" w:rsidRDefault="00C64139" w:rsidP="00C64139">
      <w:pPr>
        <w:widowControl w:val="0"/>
        <w:ind w:firstLine="709"/>
        <w:jc w:val="both"/>
        <w:rPr>
          <w:szCs w:val="28"/>
        </w:rPr>
      </w:pPr>
      <w:r w:rsidRPr="00E26D0B">
        <w:rPr>
          <w:szCs w:val="28"/>
        </w:rPr>
        <w:t>На сегодняшний день малый бизнес города Липецка представлен практически во всех отраслях экономики, но наиболее привлекательным видом предпринимательской деятельности, как и в предыдущие годы, остается деятельность в сфере торговли и бытовых услуг. Не меньший интерес предприниматели города проявляют к такому виду деятельности, как операции с недвижимым имуществом.</w:t>
      </w:r>
    </w:p>
    <w:p w:rsidR="00C64139" w:rsidRPr="00E26D0B" w:rsidRDefault="00C64139" w:rsidP="00C64139">
      <w:pPr>
        <w:widowControl w:val="0"/>
        <w:ind w:firstLine="709"/>
        <w:jc w:val="both"/>
        <w:rPr>
          <w:szCs w:val="28"/>
        </w:rPr>
      </w:pPr>
      <w:r w:rsidRPr="00E26D0B">
        <w:rPr>
          <w:szCs w:val="28"/>
        </w:rPr>
        <w:t>Распределение малых (без учета микро) предприятий и индивидуальных предпринимателей по видам экономической деятельности выглядит следующим образом:</w:t>
      </w:r>
    </w:p>
    <w:p w:rsidR="00C64139" w:rsidRPr="00E26D0B" w:rsidRDefault="00C64139" w:rsidP="00C64139">
      <w:pPr>
        <w:widowControl w:val="0"/>
        <w:jc w:val="right"/>
        <w:rPr>
          <w:szCs w:val="28"/>
        </w:rPr>
      </w:pPr>
      <w:r w:rsidRPr="00E26D0B">
        <w:rPr>
          <w:szCs w:val="28"/>
        </w:rPr>
        <w:t>Таблица 7.1</w:t>
      </w:r>
    </w:p>
    <w:p w:rsidR="00C64139" w:rsidRPr="00E26D0B" w:rsidRDefault="00C64139" w:rsidP="00C64139">
      <w:pPr>
        <w:widowControl w:val="0"/>
        <w:jc w:val="center"/>
        <w:rPr>
          <w:b/>
          <w:szCs w:val="28"/>
        </w:rPr>
      </w:pPr>
      <w:r w:rsidRPr="00E26D0B">
        <w:rPr>
          <w:b/>
          <w:szCs w:val="28"/>
        </w:rPr>
        <w:t xml:space="preserve">Отраслевая структура </w:t>
      </w:r>
    </w:p>
    <w:p w:rsidR="00C64139" w:rsidRPr="00E26D0B" w:rsidRDefault="00C64139" w:rsidP="00C64139">
      <w:pPr>
        <w:widowControl w:val="0"/>
        <w:jc w:val="center"/>
        <w:rPr>
          <w:b/>
          <w:szCs w:val="28"/>
        </w:rPr>
      </w:pPr>
      <w:r w:rsidRPr="00E26D0B">
        <w:rPr>
          <w:b/>
          <w:szCs w:val="28"/>
        </w:rPr>
        <w:t xml:space="preserve">малых предприятий и индивидуальных предпринимателей  </w:t>
      </w:r>
    </w:p>
    <w:p w:rsidR="00C64139" w:rsidRPr="00E26D0B" w:rsidRDefault="00C64139" w:rsidP="00C64139">
      <w:pPr>
        <w:widowControl w:val="0"/>
        <w:jc w:val="center"/>
        <w:rPr>
          <w:b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2472"/>
        <w:gridCol w:w="2380"/>
      </w:tblGrid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 xml:space="preserve">Виды </w:t>
            </w:r>
          </w:p>
          <w:p w:rsidR="00C64139" w:rsidRPr="00E26D0B" w:rsidRDefault="00C64139" w:rsidP="00783ABD">
            <w:pPr>
              <w:widowControl w:val="0"/>
              <w:ind w:left="-249" w:firstLine="249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2472" w:type="dxa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Малые предприятия</w:t>
            </w:r>
          </w:p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(без учета микро), %</w:t>
            </w:r>
          </w:p>
        </w:tc>
        <w:tc>
          <w:tcPr>
            <w:tcW w:w="2380" w:type="dxa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 xml:space="preserve">Индивидуальные </w:t>
            </w:r>
          </w:p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предприниматели, %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jc w:val="both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36,9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50,4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19,0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14,8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12,1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4,5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Прочие виды деятельности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12,0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5,8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9,7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5,4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7,4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12,5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2,9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-</w:t>
            </w:r>
          </w:p>
        </w:tc>
      </w:tr>
      <w:tr w:rsidR="00C64139" w:rsidRPr="00E26D0B" w:rsidTr="00783ABD">
        <w:trPr>
          <w:jc w:val="center"/>
        </w:trPr>
        <w:tc>
          <w:tcPr>
            <w:tcW w:w="4979" w:type="dxa"/>
          </w:tcPr>
          <w:p w:rsidR="00C64139" w:rsidRPr="00E26D0B" w:rsidRDefault="00C64139" w:rsidP="00783ABD">
            <w:pPr>
              <w:widowControl w:val="0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472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center"/>
          </w:tcPr>
          <w:p w:rsidR="00C64139" w:rsidRPr="00E26D0B" w:rsidRDefault="00C64139" w:rsidP="00783ABD">
            <w:pPr>
              <w:widowControl w:val="0"/>
              <w:jc w:val="center"/>
              <w:rPr>
                <w:sz w:val="24"/>
                <w:szCs w:val="24"/>
              </w:rPr>
            </w:pPr>
            <w:r w:rsidRPr="00E26D0B">
              <w:rPr>
                <w:sz w:val="24"/>
                <w:szCs w:val="24"/>
              </w:rPr>
              <w:t>6,6</w:t>
            </w:r>
          </w:p>
        </w:tc>
      </w:tr>
    </w:tbl>
    <w:p w:rsidR="00C64139" w:rsidRPr="00E26D0B" w:rsidRDefault="00C64139" w:rsidP="00C64139">
      <w:pPr>
        <w:ind w:firstLine="708"/>
        <w:jc w:val="both"/>
        <w:rPr>
          <w:szCs w:val="28"/>
        </w:rPr>
      </w:pP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Число субъектов малого и среднего предпринимательства на 10 тыс. человек населения города Липецка по итогам 2017 года составило 394,2 единиц.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Доля среднесписочной численности работников малых и средних предприятий (без внешних совместителей) в среднесписочной численности работников всех предприятий и организаций города Липецка (без внешних совместителей) за аналогичный период составила 29,5%.</w:t>
      </w:r>
    </w:p>
    <w:p w:rsidR="00C64139" w:rsidRPr="00E26D0B" w:rsidRDefault="00C64139" w:rsidP="00C64139">
      <w:pPr>
        <w:jc w:val="both"/>
        <w:rPr>
          <w:szCs w:val="28"/>
        </w:rPr>
      </w:pPr>
      <w:r w:rsidRPr="00E26D0B">
        <w:rPr>
          <w:szCs w:val="28"/>
        </w:rPr>
        <w:tab/>
        <w:t>Количество малых (с учетом микропредприятий) и средних                    предприятий   за 2017 год составило 10726</w:t>
      </w:r>
      <w:r w:rsidRPr="00E26D0B">
        <w:rPr>
          <w:i/>
          <w:szCs w:val="28"/>
        </w:rPr>
        <w:t xml:space="preserve"> </w:t>
      </w:r>
      <w:r w:rsidRPr="00E26D0B">
        <w:rPr>
          <w:szCs w:val="28"/>
        </w:rPr>
        <w:t>единиц, количество индивидуальных предпринимателей – 11971 человек (темп роста к 2016 году составил 101,2% и 106,6% соответственно). Объем налоговых поступлений в бюджет города от субъектов малого и среднего бизнеса составил 849,0 млн. рублей</w:t>
      </w:r>
      <w:r w:rsidRPr="00E26D0B">
        <w:rPr>
          <w:sz w:val="16"/>
          <w:szCs w:val="16"/>
        </w:rPr>
        <w:t>,</w:t>
      </w:r>
      <w:r w:rsidRPr="00E26D0B">
        <w:rPr>
          <w:szCs w:val="28"/>
        </w:rPr>
        <w:t xml:space="preserve"> темп роста к 2016 году составил 111,9%.</w:t>
      </w:r>
    </w:p>
    <w:p w:rsidR="00C64139" w:rsidRPr="00E26D0B" w:rsidRDefault="00C64139" w:rsidP="00C64139">
      <w:pPr>
        <w:autoSpaceDE w:val="0"/>
        <w:autoSpaceDN w:val="0"/>
        <w:adjustRightInd w:val="0"/>
        <w:jc w:val="both"/>
        <w:rPr>
          <w:szCs w:val="28"/>
        </w:rPr>
      </w:pPr>
      <w:r w:rsidRPr="00E26D0B">
        <w:rPr>
          <w:szCs w:val="28"/>
        </w:rPr>
        <w:tab/>
        <w:t>По оценке 2018 года, малый и средний бизнес сохранит положительные тенденции развития (темп роста к 2017 году количества малых и средних предприятий составит 101,2% , индивидуальных предпринимателей 103,0%).</w:t>
      </w:r>
    </w:p>
    <w:p w:rsidR="00C64139" w:rsidRPr="00E26D0B" w:rsidRDefault="00C64139" w:rsidP="00C64139">
      <w:pPr>
        <w:widowControl w:val="0"/>
        <w:ind w:firstLine="720"/>
        <w:jc w:val="both"/>
        <w:rPr>
          <w:szCs w:val="28"/>
        </w:rPr>
      </w:pPr>
      <w:r w:rsidRPr="00E26D0B">
        <w:rPr>
          <w:szCs w:val="28"/>
        </w:rPr>
        <w:t>По среднесрочному прогнозу к 2021 году количество малых и средних предприятий города составит 11800 единиц. Численность индивидуальных предпринимателей достигнет 14054 человека. Прогнозируемый объем налоговых доходов бюджета города от субъектов бизнеса составит 1463,3 млн. рублей.</w:t>
      </w:r>
    </w:p>
    <w:p w:rsidR="00C64139" w:rsidRPr="00E26D0B" w:rsidRDefault="00C64139" w:rsidP="00C64139">
      <w:pPr>
        <w:widowControl w:val="0"/>
        <w:ind w:firstLine="720"/>
        <w:jc w:val="both"/>
        <w:rPr>
          <w:szCs w:val="28"/>
        </w:rPr>
      </w:pPr>
      <w:r w:rsidRPr="00E26D0B">
        <w:rPr>
          <w:szCs w:val="28"/>
        </w:rPr>
        <w:t xml:space="preserve"> В настоящее время в городе Липецке активно развивается сектор малых инновационных предприятий. </w:t>
      </w:r>
    </w:p>
    <w:p w:rsidR="00C64139" w:rsidRPr="00E26D0B" w:rsidRDefault="00C64139" w:rsidP="00C64139">
      <w:pPr>
        <w:autoSpaceDE w:val="0"/>
        <w:autoSpaceDN w:val="0"/>
        <w:adjustRightInd w:val="0"/>
        <w:ind w:firstLine="709"/>
        <w:jc w:val="both"/>
        <w:rPr>
          <w:rStyle w:val="af9"/>
          <w:b w:val="0"/>
          <w:szCs w:val="28"/>
        </w:rPr>
      </w:pPr>
      <w:r w:rsidRPr="00E26D0B">
        <w:rPr>
          <w:color w:val="111111"/>
          <w:szCs w:val="28"/>
        </w:rPr>
        <w:t xml:space="preserve">Для улучшения качества ведения предпринимательской деятельности </w:t>
      </w:r>
      <w:r w:rsidRPr="00E26D0B">
        <w:rPr>
          <w:szCs w:val="28"/>
        </w:rPr>
        <w:t xml:space="preserve">этой категории предпринимателей, </w:t>
      </w:r>
      <w:r w:rsidRPr="00E26D0B">
        <w:rPr>
          <w:color w:val="111111"/>
          <w:szCs w:val="28"/>
        </w:rPr>
        <w:t xml:space="preserve">на территории города создан </w:t>
      </w:r>
      <w:r w:rsidRPr="00E26D0B">
        <w:rPr>
          <w:rFonts w:cs="Times New Roman CYR"/>
          <w:szCs w:val="28"/>
        </w:rPr>
        <w:t>технопарк.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 xml:space="preserve">Одной из основных функций технопарка является оказание эффективной, действующей системы поддержки и продвижения наукоемких, инновационных проектов от момента зарождения научной идей до организации мелкосерийного выпуска продукции. 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szCs w:val="28"/>
        </w:rPr>
        <w:t>Технопарк оснащен готовыми офисными, производственными и лабораторными помещениями, обеспеченными энергетическими ресурсами, услугами телефонии и интернет связи. Кроме того, оказывается комплекс услуг по сопровождению бизнес-проектов и их дальнейшего продвижения.</w:t>
      </w:r>
    </w:p>
    <w:p w:rsidR="00C64139" w:rsidRPr="00E26D0B" w:rsidRDefault="00C64139" w:rsidP="00C64139">
      <w:pPr>
        <w:widowControl w:val="0"/>
        <w:ind w:firstLine="709"/>
        <w:jc w:val="both"/>
        <w:rPr>
          <w:szCs w:val="28"/>
        </w:rPr>
      </w:pPr>
      <w:r w:rsidRPr="00E26D0B">
        <w:rPr>
          <w:szCs w:val="28"/>
        </w:rPr>
        <w:t>За первое полугодие 2018 года в число резидентов входят 23 компании, сфера деятельности которых разнообразна: от технологий в области строительных материалов до новых независимых энергосберегающих систем и IT-технологий.</w:t>
      </w:r>
    </w:p>
    <w:p w:rsidR="00C64139" w:rsidRPr="00E26D0B" w:rsidRDefault="00C64139" w:rsidP="00C64139">
      <w:pPr>
        <w:widowControl w:val="0"/>
        <w:ind w:firstLine="708"/>
        <w:jc w:val="both"/>
        <w:rPr>
          <w:szCs w:val="28"/>
        </w:rPr>
      </w:pPr>
      <w:r w:rsidRPr="00E26D0B">
        <w:rPr>
          <w:szCs w:val="28"/>
        </w:rPr>
        <w:t>Общий объем налоговых отчислений компаний - резидентов технопарка за 2017 год составил - 10363,4 тыс. рублей, объем выручки - 452794,2 тыс. рублей.</w:t>
      </w:r>
    </w:p>
    <w:p w:rsidR="00C64139" w:rsidRPr="00E26D0B" w:rsidRDefault="00C64139" w:rsidP="00C64139">
      <w:pPr>
        <w:pStyle w:val="HTML"/>
        <w:shd w:val="clear" w:color="auto" w:fill="FFFFFF"/>
        <w:tabs>
          <w:tab w:val="clear" w:pos="916"/>
          <w:tab w:val="left" w:pos="700"/>
        </w:tabs>
        <w:jc w:val="both"/>
        <w:rPr>
          <w:rFonts w:ascii="Times New Roman" w:hAnsi="Times New Roman"/>
          <w:sz w:val="28"/>
          <w:szCs w:val="28"/>
        </w:rPr>
      </w:pPr>
      <w:r w:rsidRPr="00E26D0B">
        <w:rPr>
          <w:color w:val="0000AF"/>
        </w:rPr>
        <w:tab/>
      </w:r>
      <w:r w:rsidRPr="00E26D0B">
        <w:rPr>
          <w:rFonts w:ascii="Times New Roman" w:hAnsi="Times New Roman"/>
          <w:sz w:val="28"/>
          <w:szCs w:val="28"/>
        </w:rPr>
        <w:t>Благоприятные условия, созданные для развития малых и средних       предприятий, занимающихся коммерциализацией высокотехнологичных инновационных проектов, будет способствовать увеличению объема налоговых отчислений.</w:t>
      </w:r>
    </w:p>
    <w:p w:rsidR="00C64139" w:rsidRPr="00E26D0B" w:rsidRDefault="00C64139" w:rsidP="00C64139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26D0B">
        <w:rPr>
          <w:color w:val="000000"/>
          <w:sz w:val="28"/>
          <w:szCs w:val="28"/>
        </w:rPr>
        <w:t>В перспективе на территории города Липецка планируется создание  Индустриального парка, где предполагается размещение предприятий приоритетных отраслей развития промышленности: предприятий машиностроения, станкостроения, и комплектующих, предприятий сельхозмашиностроения, оборудования и запасных частей, робототехники.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rPr>
          <w:szCs w:val="28"/>
        </w:rPr>
        <w:t>Основные показатели развития малого и среднего предпринимательства в 2017 году, их оценка на 2018 год и прогноз на 2019–2021 годы приведены в таблице 7.2.</w:t>
      </w:r>
    </w:p>
    <w:p w:rsidR="00163BB9" w:rsidRPr="00477550" w:rsidRDefault="00163BB9" w:rsidP="00C64139">
      <w:pPr>
        <w:jc w:val="right"/>
        <w:rPr>
          <w:szCs w:val="28"/>
        </w:rPr>
      </w:pPr>
    </w:p>
    <w:p w:rsidR="00C64139" w:rsidRPr="00E26D0B" w:rsidRDefault="00C64139" w:rsidP="00C64139">
      <w:pPr>
        <w:jc w:val="right"/>
        <w:rPr>
          <w:szCs w:val="28"/>
        </w:rPr>
      </w:pPr>
      <w:r w:rsidRPr="00E26D0B">
        <w:rPr>
          <w:szCs w:val="28"/>
        </w:rPr>
        <w:t>Таблица 7.2</w:t>
      </w:r>
    </w:p>
    <w:p w:rsidR="00C64139" w:rsidRPr="00E26D0B" w:rsidRDefault="00C64139" w:rsidP="00C64139">
      <w:pPr>
        <w:jc w:val="center"/>
        <w:rPr>
          <w:b/>
          <w:szCs w:val="28"/>
        </w:rPr>
      </w:pPr>
    </w:p>
    <w:p w:rsidR="00C64139" w:rsidRPr="00E26D0B" w:rsidRDefault="00C64139" w:rsidP="00C64139">
      <w:pPr>
        <w:jc w:val="center"/>
        <w:rPr>
          <w:b/>
          <w:szCs w:val="28"/>
        </w:rPr>
      </w:pPr>
      <w:r w:rsidRPr="00E26D0B">
        <w:rPr>
          <w:b/>
          <w:szCs w:val="28"/>
        </w:rPr>
        <w:t>Основные показатели развития малого и среднего</w:t>
      </w:r>
    </w:p>
    <w:p w:rsidR="00C64139" w:rsidRPr="00E26D0B" w:rsidRDefault="00C64139" w:rsidP="00C64139">
      <w:pPr>
        <w:jc w:val="center"/>
        <w:rPr>
          <w:b/>
          <w:szCs w:val="28"/>
        </w:rPr>
      </w:pPr>
      <w:r w:rsidRPr="00E26D0B">
        <w:rPr>
          <w:b/>
          <w:szCs w:val="28"/>
        </w:rPr>
        <w:t>предпринимательства</w:t>
      </w:r>
    </w:p>
    <w:p w:rsidR="00C64139" w:rsidRPr="00E26D0B" w:rsidRDefault="00C64139" w:rsidP="00C64139">
      <w:pPr>
        <w:ind w:left="360"/>
        <w:jc w:val="center"/>
        <w:rPr>
          <w:b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071"/>
        <w:gridCol w:w="1214"/>
        <w:gridCol w:w="1178"/>
        <w:gridCol w:w="1178"/>
        <w:gridCol w:w="1178"/>
      </w:tblGrid>
      <w:tr w:rsidR="00C64139" w:rsidRPr="00E26D0B" w:rsidTr="00783ABD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 факт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 оценка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 xml:space="preserve">2021 год прогноз </w:t>
            </w:r>
          </w:p>
        </w:tc>
      </w:tr>
      <w:tr w:rsidR="00C64139" w:rsidRPr="00E26D0B" w:rsidTr="00783ABD">
        <w:trPr>
          <w:trHeight w:val="301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Количество малых и средних предприятий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единиц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10726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10855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10996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11249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11800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102,3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104,9</w:t>
            </w:r>
          </w:p>
        </w:tc>
      </w:tr>
      <w:tr w:rsidR="00C64139" w:rsidRPr="00E26D0B" w:rsidTr="00783ABD">
        <w:trPr>
          <w:trHeight w:val="313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Количество индивидуальных предпринимателей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единиц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11971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12330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12712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13284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14054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</w:rPr>
              <w:t>103,0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104,5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105,8</w:t>
            </w:r>
          </w:p>
        </w:tc>
      </w:tr>
      <w:tr w:rsidR="00C64139" w:rsidRPr="00E26D0B" w:rsidTr="00783ABD">
        <w:trPr>
          <w:trHeight w:val="311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Поступление налогов в бюджет города от субъектов малого и среднего бизнеса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849,0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951,7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1077,3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1244,3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1463,3</w:t>
            </w:r>
          </w:p>
        </w:tc>
      </w:tr>
      <w:tr w:rsidR="00C64139" w:rsidRPr="00E26D0B" w:rsidTr="00783A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112,1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117,6</w:t>
            </w:r>
          </w:p>
        </w:tc>
      </w:tr>
    </w:tbl>
    <w:p w:rsidR="00C64139" w:rsidRPr="00E26D0B" w:rsidRDefault="00C64139" w:rsidP="00C64139">
      <w:pPr>
        <w:ind w:left="360"/>
        <w:jc w:val="center"/>
        <w:rPr>
          <w:b/>
        </w:rPr>
      </w:pPr>
    </w:p>
    <w:p w:rsidR="00C64139" w:rsidRPr="00E26D0B" w:rsidRDefault="00C64139" w:rsidP="00C64139">
      <w:pPr>
        <w:tabs>
          <w:tab w:val="left" w:pos="709"/>
        </w:tabs>
        <w:ind w:left="360"/>
        <w:jc w:val="center"/>
        <w:rPr>
          <w:b/>
        </w:rPr>
      </w:pPr>
    </w:p>
    <w:p w:rsidR="00C64139" w:rsidRPr="00E26D0B" w:rsidRDefault="00C64139" w:rsidP="00C64139">
      <w:pPr>
        <w:tabs>
          <w:tab w:val="left" w:pos="709"/>
        </w:tabs>
        <w:ind w:left="360"/>
        <w:jc w:val="center"/>
        <w:rPr>
          <w:b/>
        </w:rPr>
      </w:pPr>
      <w:r w:rsidRPr="00E26D0B">
        <w:rPr>
          <w:b/>
        </w:rPr>
        <w:t>8. ФИНАНСЫ</w:t>
      </w:r>
    </w:p>
    <w:p w:rsidR="00C64139" w:rsidRPr="00E26D0B" w:rsidRDefault="00C64139" w:rsidP="00C64139">
      <w:pPr>
        <w:tabs>
          <w:tab w:val="left" w:pos="709"/>
        </w:tabs>
        <w:ind w:left="360"/>
        <w:jc w:val="center"/>
        <w:rPr>
          <w:b/>
        </w:rPr>
      </w:pPr>
    </w:p>
    <w:p w:rsidR="00C64139" w:rsidRPr="00E26D0B" w:rsidRDefault="00C64139" w:rsidP="00C64139">
      <w:pPr>
        <w:tabs>
          <w:tab w:val="left" w:pos="709"/>
          <w:tab w:val="left" w:pos="2127"/>
        </w:tabs>
        <w:ind w:firstLine="720"/>
        <w:jc w:val="both"/>
        <w:rPr>
          <w:snapToGrid w:val="0"/>
          <w:color w:val="000000"/>
        </w:rPr>
      </w:pPr>
      <w:r w:rsidRPr="00E26D0B">
        <w:rPr>
          <w:snapToGrid w:val="0"/>
          <w:color w:val="000000"/>
        </w:rPr>
        <w:t>Среднесрочные прогнозные данные о финансовых результатах крупных и средних организаций города определены на основании проведенного мониторинга их деятельности.</w:t>
      </w:r>
    </w:p>
    <w:p w:rsidR="00C64139" w:rsidRPr="00E26D0B" w:rsidRDefault="00C64139" w:rsidP="00C64139">
      <w:pPr>
        <w:ind w:firstLine="720"/>
        <w:jc w:val="both"/>
      </w:pPr>
      <w:r w:rsidRPr="00E26D0B">
        <w:rPr>
          <w:snapToGrid w:val="0"/>
          <w:color w:val="000000"/>
        </w:rPr>
        <w:t xml:space="preserve">По итогам 2017 года крупными и средними организациями города получен положительный сальдированный финансовый результат – </w:t>
      </w:r>
      <w:r w:rsidRPr="00E26D0B">
        <w:rPr>
          <w:snapToGrid w:val="0"/>
          <w:color w:val="000000"/>
          <w:szCs w:val="28"/>
        </w:rPr>
        <w:t>137566,8 млн.</w:t>
      </w:r>
      <w:r w:rsidRPr="00E26D0B">
        <w:rPr>
          <w:snapToGrid w:val="0"/>
          <w:color w:val="000000"/>
        </w:rPr>
        <w:t xml:space="preserve"> рублей. Прибыль в </w:t>
      </w:r>
      <w:r w:rsidRPr="00E26D0B">
        <w:rPr>
          <w:snapToGrid w:val="0"/>
          <w:color w:val="000000"/>
          <w:szCs w:val="28"/>
        </w:rPr>
        <w:t xml:space="preserve">размере 140685,3 </w:t>
      </w:r>
      <w:r w:rsidRPr="00E26D0B">
        <w:rPr>
          <w:bCs/>
          <w:color w:val="000000"/>
          <w:szCs w:val="28"/>
        </w:rPr>
        <w:t>млн</w:t>
      </w:r>
      <w:r w:rsidRPr="00E26D0B">
        <w:rPr>
          <w:snapToGrid w:val="0"/>
          <w:color w:val="000000"/>
        </w:rPr>
        <w:t xml:space="preserve">. рублей </w:t>
      </w:r>
      <w:r w:rsidRPr="00E26D0B">
        <w:t>получили 72,3% крупных и средних организаций города.</w:t>
      </w:r>
    </w:p>
    <w:p w:rsidR="00C64139" w:rsidRPr="00E26D0B" w:rsidRDefault="00C64139" w:rsidP="00C64139">
      <w:pPr>
        <w:ind w:firstLine="720"/>
        <w:jc w:val="both"/>
        <w:rPr>
          <w:snapToGrid w:val="0"/>
          <w:color w:val="000000"/>
        </w:rPr>
      </w:pPr>
      <w:r w:rsidRPr="00E26D0B">
        <w:rPr>
          <w:snapToGrid w:val="0"/>
          <w:color w:val="000000"/>
        </w:rPr>
        <w:t xml:space="preserve">Положительный сальдированный финансовый результат показали большинство отраслей экономики города, такие как: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snapToGrid w:val="0"/>
          <w:color w:val="000000"/>
        </w:rPr>
        <w:t xml:space="preserve">- </w:t>
      </w:r>
      <w:r w:rsidRPr="00E26D0B">
        <w:rPr>
          <w:color w:val="000000"/>
          <w:szCs w:val="28"/>
        </w:rPr>
        <w:t xml:space="preserve">металлургическое производство (128962,0 млн. рублей);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производство пищевых продуктов (3932,4 млн. рублей);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сельское хозяйство (1055,0 млн. рублей);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строительство (863,4 млн. руб.);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- производство прочей неметаллической минеральной продукции                 (501,7 млн. рублей);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 обеспечение электроэнергией, газом и паром (480,3 млн. рублей);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- оптовая и розничная торговля (272,3 млн. рублей) и др. </w:t>
      </w:r>
    </w:p>
    <w:p w:rsidR="00C64139" w:rsidRPr="00E26D0B" w:rsidRDefault="00C64139" w:rsidP="00C64139">
      <w:pPr>
        <w:ind w:firstLine="720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В отрицательной зоне оказалась отрасль водоснабжения, водоотведения, организации сбора и утилизации отходов (- 332,5 млн. рублей), производство готовых металлических изделий, кроме машин и оборудования (- 428,9 млн. рублей).</w:t>
      </w:r>
    </w:p>
    <w:p w:rsidR="00C64139" w:rsidRPr="00E26D0B" w:rsidRDefault="00C64139" w:rsidP="00C64139">
      <w:pPr>
        <w:ind w:firstLine="720"/>
        <w:jc w:val="both"/>
        <w:rPr>
          <w:snapToGrid w:val="0"/>
          <w:color w:val="000000"/>
        </w:rPr>
      </w:pPr>
      <w:r w:rsidRPr="00E26D0B">
        <w:rPr>
          <w:snapToGrid w:val="0"/>
          <w:color w:val="000000"/>
        </w:rPr>
        <w:t xml:space="preserve">Наиболее прибыльными остаются отрасли, относящиеся по виду экономической деятельности к промышленному производству. </w:t>
      </w:r>
    </w:p>
    <w:p w:rsidR="00C64139" w:rsidRPr="00E26D0B" w:rsidRDefault="00C64139" w:rsidP="00C64139">
      <w:pPr>
        <w:ind w:firstLine="708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>При формировании прогноза за основу были приняты тенденции развития организаций, которые занимают наибольший удельный вес в формировании общегородского финансового результата.</w:t>
      </w:r>
    </w:p>
    <w:p w:rsidR="00C64139" w:rsidRPr="00E26D0B" w:rsidRDefault="00C64139" w:rsidP="00C64139">
      <w:pPr>
        <w:ind w:firstLine="708"/>
        <w:jc w:val="both"/>
        <w:rPr>
          <w:color w:val="000000"/>
          <w:szCs w:val="28"/>
        </w:rPr>
      </w:pPr>
      <w:r w:rsidRPr="00E26D0B">
        <w:rPr>
          <w:color w:val="000000"/>
          <w:szCs w:val="28"/>
        </w:rPr>
        <w:t xml:space="preserve">По итогам 2017 года с прибылью сработали такие крупные  организации города, как </w:t>
      </w:r>
      <w:r w:rsidRPr="00E26D0B">
        <w:rPr>
          <w:color w:val="000000"/>
        </w:rPr>
        <w:t>предприятие ПАО «Новолипецкий металлургический комбинат»</w:t>
      </w:r>
      <w:r w:rsidRPr="00E26D0B">
        <w:rPr>
          <w:color w:val="000000"/>
          <w:szCs w:val="28"/>
        </w:rPr>
        <w:t xml:space="preserve">, </w:t>
      </w:r>
      <w:r w:rsidRPr="00E26D0B">
        <w:rPr>
          <w:szCs w:val="28"/>
        </w:rPr>
        <w:t xml:space="preserve">АО «Продовольственная компания «ЛИМАК», АО "ИНДЕЗИТ ИНТЕРНЭШНЛ", </w:t>
      </w:r>
      <w:r w:rsidRPr="00E26D0B">
        <w:rPr>
          <w:color w:val="000000"/>
          <w:szCs w:val="28"/>
        </w:rPr>
        <w:t xml:space="preserve">ООО «ЛТК «Свободный Сокол», АО «ПРОГРЕСС» и др.                                                                                                                                         </w:t>
      </w:r>
    </w:p>
    <w:p w:rsidR="00C64139" w:rsidRPr="00E26D0B" w:rsidRDefault="00C64139" w:rsidP="00C64139">
      <w:pPr>
        <w:ind w:firstLine="708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>Анализ бухгалтерской отчетности ПАО «НЛМК» показал, что по итогам 2017 года прибыль до налогообложения составила 122633, 4 млн. рублей, что в     2,5 раза больше уровня 2016 года (составляет 87 % налогооблагаемой прибыли                    по крупным и средним организациям города Липецка).                                  Увеличение прибыли произошло за счет увеличения выручки от продажи металлургического производства (от продажи слябов, горячекатаного проката, холоднокатаного проката), также увеличилась сумма дивидендов, полученных от дочерних организаций и прочие доходы.</w:t>
      </w:r>
    </w:p>
    <w:p w:rsidR="00C64139" w:rsidRPr="00E26D0B" w:rsidRDefault="00C64139" w:rsidP="00C64139">
      <w:pPr>
        <w:ind w:firstLine="720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 xml:space="preserve">За январь-июнь 2018 года сальдированный финансовый результат (прибыль-убыток) крупных и средних организаций составил 54281,7 млн. рублей или 142,1% к соответствующему периоду 2017 года. </w:t>
      </w:r>
    </w:p>
    <w:p w:rsidR="00C64139" w:rsidRPr="00E26D0B" w:rsidRDefault="00C64139" w:rsidP="00C64139">
      <w:pPr>
        <w:ind w:firstLine="720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 xml:space="preserve">По виду деятельности обрабатывающие производства сальдированный финансовый результат (прибыль-убыток) крупных и средних организаций  составил 54430,7 млн. рублей или 145,3% к аналогичному периоду 2017 года. </w:t>
      </w:r>
    </w:p>
    <w:p w:rsidR="00C64139" w:rsidRPr="00E26D0B" w:rsidRDefault="00C64139" w:rsidP="00C64139">
      <w:pPr>
        <w:ind w:firstLine="720"/>
        <w:jc w:val="both"/>
        <w:rPr>
          <w:color w:val="000000"/>
          <w:lang w:bidi="ru-RU"/>
        </w:rPr>
      </w:pPr>
      <w:r w:rsidRPr="00E26D0B">
        <w:rPr>
          <w:snapToGrid w:val="0"/>
          <w:color w:val="000000"/>
        </w:rPr>
        <w:t xml:space="preserve">Прибыль за январь-июнь 2018 года в </w:t>
      </w:r>
      <w:r w:rsidRPr="00E26D0B">
        <w:rPr>
          <w:snapToGrid w:val="0"/>
          <w:color w:val="000000"/>
          <w:szCs w:val="28"/>
        </w:rPr>
        <w:t xml:space="preserve">размере 57726,1 </w:t>
      </w:r>
      <w:r w:rsidRPr="00E26D0B">
        <w:rPr>
          <w:bCs/>
          <w:color w:val="000000"/>
          <w:szCs w:val="28"/>
        </w:rPr>
        <w:t>млн</w:t>
      </w:r>
      <w:r w:rsidRPr="00E26D0B">
        <w:rPr>
          <w:snapToGrid w:val="0"/>
          <w:color w:val="000000"/>
        </w:rPr>
        <w:t xml:space="preserve">. рублей </w:t>
      </w:r>
      <w:r w:rsidRPr="00E26D0B">
        <w:t xml:space="preserve">получили 70% крупных и средних организаций города Липецка, из них  по виду деятельности обрабатывающие производства – 55630,9 </w:t>
      </w:r>
      <w:r w:rsidRPr="00E26D0B">
        <w:rPr>
          <w:color w:val="000000"/>
          <w:lang w:bidi="ru-RU"/>
        </w:rPr>
        <w:t xml:space="preserve">рублей или 146,5% к аналогичному периоду 2017 года. </w:t>
      </w:r>
    </w:p>
    <w:p w:rsidR="00C64139" w:rsidRPr="00E26D0B" w:rsidRDefault="00C64139" w:rsidP="00C64139">
      <w:pPr>
        <w:ind w:firstLine="720"/>
        <w:jc w:val="both"/>
        <w:rPr>
          <w:color w:val="000000"/>
          <w:lang w:bidi="ru-RU"/>
        </w:rPr>
      </w:pPr>
      <w:r w:rsidRPr="00E26D0B">
        <w:rPr>
          <w:color w:val="000000"/>
          <w:lang w:bidi="ru-RU"/>
        </w:rPr>
        <w:t>Увеличение значений показателей произошло вследствие роста средних цен реализации продукции на фоне сезонного роста продаж у ПАО «НЛМК». К концу 2018 года значение показателей сальдированного финансового результата крупных и средних организаций промышленности стабилизируется на уровне 103,6%. На 2019-2021 гг. прогнозируется сбалансированный рост промышленности на выпускаемый ПАО «НЛМК» ассортимент, стабильный рост налогооблагаемой прибыли.</w:t>
      </w:r>
    </w:p>
    <w:p w:rsidR="00C64139" w:rsidRPr="00E26D0B" w:rsidRDefault="00C64139" w:rsidP="00C64139">
      <w:pPr>
        <w:tabs>
          <w:tab w:val="left" w:pos="3525"/>
        </w:tabs>
        <w:ind w:firstLine="709"/>
        <w:jc w:val="both"/>
        <w:rPr>
          <w:szCs w:val="28"/>
        </w:rPr>
      </w:pPr>
      <w:r w:rsidRPr="00E26D0B">
        <w:rPr>
          <w:szCs w:val="28"/>
        </w:rPr>
        <w:t>По виду деятельности обеспечение электрической энергией, газом и паром; кондиционирование воздуха прогнозируемый среднегодовой тем роста на 2019-2021 годы составит от 104-104,3 %.</w:t>
      </w:r>
    </w:p>
    <w:p w:rsidR="00C64139" w:rsidRPr="00E26D0B" w:rsidRDefault="00C64139" w:rsidP="00C64139">
      <w:pPr>
        <w:ind w:firstLine="708"/>
        <w:jc w:val="both"/>
        <w:rPr>
          <w:szCs w:val="28"/>
        </w:rPr>
      </w:pPr>
      <w:r w:rsidRPr="00E26D0B">
        <w:t xml:space="preserve">Отмеченные тенденции функционирования крупных организаций позволяют оценить динамику финансовых результатов развития промышленного сектора и экономики города в целом. В 2021 году финансовый результат прибыльных организаций города по прогнозу составит 170646,1 млн. рублей. Сальдированный финансовый результат ожидается в размере </w:t>
      </w:r>
      <w:r w:rsidRPr="00E26D0B">
        <w:rPr>
          <w:bCs/>
        </w:rPr>
        <w:t xml:space="preserve">168449,6 </w:t>
      </w:r>
      <w:r w:rsidRPr="00E26D0B">
        <w:rPr>
          <w:szCs w:val="28"/>
        </w:rPr>
        <w:t xml:space="preserve">млн. рублей </w:t>
      </w:r>
    </w:p>
    <w:p w:rsidR="00C64139" w:rsidRPr="00E26D0B" w:rsidRDefault="00C64139" w:rsidP="00C64139">
      <w:pPr>
        <w:ind w:firstLine="720"/>
        <w:jc w:val="both"/>
        <w:rPr>
          <w:color w:val="000000"/>
        </w:rPr>
      </w:pPr>
      <w:r w:rsidRPr="00E26D0B">
        <w:rPr>
          <w:snapToGrid w:val="0"/>
          <w:color w:val="000000"/>
        </w:rPr>
        <w:t xml:space="preserve">Данные о финансовых результатах, полученных крупными и средними организациями города в 2017 году, их </w:t>
      </w:r>
      <w:r w:rsidRPr="00E26D0B">
        <w:rPr>
          <w:color w:val="000000"/>
        </w:rPr>
        <w:t xml:space="preserve">оценка на 2018 год и прогноз на 2019–2021 годы приведены в таблице 8.1.                                </w:t>
      </w:r>
    </w:p>
    <w:p w:rsidR="00C64139" w:rsidRPr="00E26D0B" w:rsidRDefault="00C64139" w:rsidP="00C64139">
      <w:pPr>
        <w:ind w:firstLine="720"/>
        <w:jc w:val="right"/>
        <w:rPr>
          <w:snapToGrid w:val="0"/>
        </w:rPr>
      </w:pPr>
    </w:p>
    <w:p w:rsidR="00C64139" w:rsidRPr="00E26D0B" w:rsidRDefault="00C64139" w:rsidP="00C64139">
      <w:pPr>
        <w:ind w:firstLine="720"/>
        <w:jc w:val="right"/>
        <w:rPr>
          <w:snapToGrid w:val="0"/>
        </w:rPr>
      </w:pPr>
      <w:r w:rsidRPr="00E26D0B">
        <w:rPr>
          <w:snapToGrid w:val="0"/>
        </w:rPr>
        <w:t>Таблица 8.1.</w:t>
      </w:r>
    </w:p>
    <w:p w:rsidR="00C64139" w:rsidRPr="00E26D0B" w:rsidRDefault="00C64139" w:rsidP="00C64139">
      <w:pPr>
        <w:ind w:firstLine="720"/>
        <w:jc w:val="center"/>
        <w:rPr>
          <w:b/>
          <w:snapToGrid w:val="0"/>
          <w:szCs w:val="28"/>
        </w:rPr>
      </w:pPr>
      <w:r w:rsidRPr="00E26D0B">
        <w:rPr>
          <w:b/>
          <w:snapToGrid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139" w:rsidRPr="00E26D0B" w:rsidRDefault="00C64139" w:rsidP="00C64139">
      <w:pPr>
        <w:ind w:firstLine="720"/>
        <w:jc w:val="center"/>
        <w:rPr>
          <w:b/>
          <w:snapToGrid w:val="0"/>
          <w:szCs w:val="28"/>
        </w:rPr>
      </w:pPr>
      <w:r w:rsidRPr="00E26D0B">
        <w:rPr>
          <w:b/>
          <w:snapToGrid w:val="0"/>
          <w:szCs w:val="28"/>
        </w:rPr>
        <w:t xml:space="preserve">Основные показатели финансового положения </w:t>
      </w:r>
    </w:p>
    <w:p w:rsidR="00C64139" w:rsidRPr="00E26D0B" w:rsidRDefault="00C64139" w:rsidP="00C64139">
      <w:pPr>
        <w:ind w:firstLine="720"/>
        <w:jc w:val="center"/>
        <w:rPr>
          <w:b/>
          <w:snapToGrid w:val="0"/>
          <w:szCs w:val="28"/>
        </w:rPr>
      </w:pPr>
      <w:r w:rsidRPr="00E26D0B">
        <w:rPr>
          <w:b/>
          <w:snapToGrid w:val="0"/>
          <w:szCs w:val="28"/>
        </w:rPr>
        <w:t xml:space="preserve">крупных и средних организаций </w:t>
      </w:r>
    </w:p>
    <w:p w:rsidR="00C64139" w:rsidRPr="00E26D0B" w:rsidRDefault="00C64139" w:rsidP="00C64139">
      <w:pPr>
        <w:ind w:firstLine="720"/>
        <w:jc w:val="center"/>
        <w:rPr>
          <w:b/>
          <w:i/>
          <w:snapToGrid w:val="0"/>
          <w:sz w:val="26"/>
          <w:szCs w:val="26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4"/>
        <w:gridCol w:w="1414"/>
        <w:gridCol w:w="1415"/>
        <w:gridCol w:w="1414"/>
        <w:gridCol w:w="1415"/>
      </w:tblGrid>
      <w:tr w:rsidR="00C64139" w:rsidRPr="00E26D0B" w:rsidTr="00783ABD">
        <w:trPr>
          <w:cantSplit/>
          <w:trHeight w:val="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tabs>
                <w:tab w:val="left" w:pos="742"/>
              </w:tabs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rFonts w:eastAsia="Arial Unicode MS"/>
                <w:b/>
                <w:sz w:val="22"/>
                <w:szCs w:val="22"/>
              </w:rPr>
              <w:t>2018 год оценка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iCs/>
                <w:sz w:val="22"/>
                <w:szCs w:val="22"/>
              </w:rPr>
            </w:pPr>
            <w:r w:rsidRPr="00E26D0B">
              <w:rPr>
                <w:b/>
                <w:iCs/>
                <w:sz w:val="22"/>
                <w:szCs w:val="22"/>
              </w:rPr>
              <w:t>Сальдированный финансовый результат организаций (прибыль – убыток)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137566,8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141968,9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150061,2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159064,8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168449,6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240,9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iCs/>
                <w:sz w:val="22"/>
                <w:szCs w:val="22"/>
              </w:rPr>
            </w:pPr>
            <w:r w:rsidRPr="00E26D0B">
              <w:rPr>
                <w:b/>
                <w:iCs/>
                <w:sz w:val="22"/>
                <w:szCs w:val="22"/>
              </w:rPr>
              <w:t>Сальдированный финансовый результат организаций промышленности (прибыль – убыток)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135574,9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140455,6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148742,5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158113,3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167600,0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245,9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Финансовый результат прибыльных организаций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140685,3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145187,2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153027,3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161749,9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170646,1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238,6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105,5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Финансовый результат прибыльных организаций промышленности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 xml:space="preserve">137180,7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142107,8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150477,4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159941,4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169521,1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136420,8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141331,9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149670,5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159099,8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168645,8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248,3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106,0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млн.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775,9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841,6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875,3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104,0</w:t>
            </w:r>
          </w:p>
        </w:tc>
      </w:tr>
      <w:tr w:rsidR="00C64139" w:rsidRPr="00E26D0B" w:rsidTr="00783ABD">
        <w:trPr>
          <w:trHeight w:val="277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Удельный вес прибыльных организаций в общем числе организаций</w:t>
            </w:r>
          </w:p>
        </w:tc>
      </w:tr>
      <w:tr w:rsidR="00C64139" w:rsidRPr="00E26D0B" w:rsidTr="00783ABD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6D0B">
              <w:rPr>
                <w:bCs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color w:val="000000"/>
                <w:sz w:val="22"/>
                <w:szCs w:val="22"/>
              </w:rPr>
            </w:pPr>
            <w:r w:rsidRPr="00E26D0B">
              <w:rPr>
                <w:color w:val="000000"/>
                <w:sz w:val="22"/>
                <w:szCs w:val="22"/>
              </w:rPr>
              <w:t>73,4</w:t>
            </w:r>
          </w:p>
        </w:tc>
      </w:tr>
    </w:tbl>
    <w:p w:rsidR="00C64139" w:rsidRPr="00E26D0B" w:rsidRDefault="00C64139" w:rsidP="00C64139">
      <w:pPr>
        <w:jc w:val="both"/>
        <w:rPr>
          <w:sz w:val="24"/>
          <w:szCs w:val="24"/>
        </w:rPr>
      </w:pPr>
    </w:p>
    <w:p w:rsidR="00C64139" w:rsidRPr="00E26D0B" w:rsidRDefault="00C64139" w:rsidP="00C64139">
      <w:pPr>
        <w:jc w:val="both"/>
        <w:rPr>
          <w:sz w:val="24"/>
          <w:szCs w:val="24"/>
        </w:rPr>
      </w:pPr>
    </w:p>
    <w:p w:rsidR="00C64139" w:rsidRPr="00E26D0B" w:rsidRDefault="00C64139" w:rsidP="00C64139">
      <w:pPr>
        <w:ind w:firstLine="708"/>
        <w:jc w:val="center"/>
        <w:rPr>
          <w:b/>
        </w:rPr>
      </w:pPr>
      <w:r w:rsidRPr="00E26D0B">
        <w:rPr>
          <w:b/>
        </w:rPr>
        <w:t>9. МУНИЦИПАЛЬНОЕ ИМУЩЕСТВО</w:t>
      </w:r>
    </w:p>
    <w:p w:rsidR="00C64139" w:rsidRPr="00E26D0B" w:rsidRDefault="00C64139" w:rsidP="00C64139"/>
    <w:p w:rsidR="00C64139" w:rsidRPr="00E26D0B" w:rsidRDefault="00C64139" w:rsidP="00C64139">
      <w:pPr>
        <w:tabs>
          <w:tab w:val="left" w:pos="567"/>
        </w:tabs>
        <w:ind w:firstLine="709"/>
        <w:jc w:val="both"/>
        <w:rPr>
          <w:szCs w:val="28"/>
        </w:rPr>
      </w:pPr>
      <w:r w:rsidRPr="00E26D0B">
        <w:rPr>
          <w:szCs w:val="28"/>
        </w:rPr>
        <w:t>Муниципальное имущество в соответствии с действующим законодательством является одной из важнейших составляющих экономической основы местного самоуправления. Эффективное управление муниципальным имуществом позволяет решить две основные задачи: экономическую и социальную.</w:t>
      </w:r>
    </w:p>
    <w:p w:rsidR="00C64139" w:rsidRPr="00E26D0B" w:rsidRDefault="00C64139" w:rsidP="00C64139">
      <w:pPr>
        <w:tabs>
          <w:tab w:val="left" w:pos="567"/>
        </w:tabs>
        <w:ind w:firstLine="709"/>
        <w:jc w:val="both"/>
      </w:pPr>
      <w:r w:rsidRPr="00E26D0B">
        <w:t>В собственности городского округа находятся объекты, имеющие особо важное значение для жизнеобеспечения города, удовлетворения потребностей населения и городского хозяйства, а также сохранения историко-культурного наследия.</w:t>
      </w:r>
    </w:p>
    <w:p w:rsidR="00163BB9" w:rsidRPr="00477550" w:rsidRDefault="00163BB9" w:rsidP="00C64139">
      <w:pPr>
        <w:tabs>
          <w:tab w:val="left" w:pos="567"/>
        </w:tabs>
        <w:ind w:firstLine="709"/>
        <w:jc w:val="both"/>
      </w:pPr>
    </w:p>
    <w:p w:rsidR="00163BB9" w:rsidRPr="00477550" w:rsidRDefault="00163BB9" w:rsidP="00C64139">
      <w:pPr>
        <w:tabs>
          <w:tab w:val="left" w:pos="567"/>
        </w:tabs>
        <w:ind w:firstLine="709"/>
        <w:jc w:val="both"/>
      </w:pPr>
    </w:p>
    <w:p w:rsidR="00C64139" w:rsidRPr="00E26D0B" w:rsidRDefault="00C64139" w:rsidP="00C64139">
      <w:pPr>
        <w:tabs>
          <w:tab w:val="left" w:pos="567"/>
        </w:tabs>
        <w:ind w:firstLine="709"/>
        <w:jc w:val="both"/>
        <w:rPr>
          <w:bCs/>
          <w:color w:val="000000"/>
          <w:szCs w:val="28"/>
        </w:rPr>
      </w:pPr>
      <w:r w:rsidRPr="00E26D0B">
        <w:t>Муниципальная собственность состоит из недвижимого имущества и пакетов акций.</w:t>
      </w:r>
    </w:p>
    <w:p w:rsidR="00C64139" w:rsidRPr="00E26D0B" w:rsidRDefault="00C64139" w:rsidP="00C64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D0B">
        <w:rPr>
          <w:bCs/>
          <w:color w:val="000000"/>
          <w:szCs w:val="28"/>
        </w:rPr>
        <w:t xml:space="preserve">Прогноз доходов в виде дивидендов произведен по акционерным обществам, акции которых находятся в муниципальной собственности города Липецка. </w:t>
      </w:r>
      <w:r w:rsidRPr="00E26D0B">
        <w:rPr>
          <w:szCs w:val="28"/>
        </w:rPr>
        <w:t>Сумма дивидендов по акциям, находящимся в муниципальной собственности</w:t>
      </w:r>
      <w:r w:rsidRPr="00E26D0B">
        <w:rPr>
          <w:rFonts w:ascii="Times New Roman CYR" w:hAnsi="Times New Roman CYR"/>
        </w:rPr>
        <w:t xml:space="preserve"> за 2017 год составила 801 тыс. рублей. </w:t>
      </w:r>
      <w:r w:rsidRPr="00E26D0B">
        <w:rPr>
          <w:bCs/>
          <w:color w:val="000000"/>
          <w:szCs w:val="28"/>
        </w:rPr>
        <w:t xml:space="preserve">По оценочным данным </w:t>
      </w:r>
      <w:r w:rsidRPr="00E26D0B">
        <w:rPr>
          <w:szCs w:val="28"/>
        </w:rPr>
        <w:t>сумма дивидендов в 2018 году составит 456 тыс. рублей или 56,9% к 2017 году.</w:t>
      </w:r>
    </w:p>
    <w:p w:rsidR="00C64139" w:rsidRPr="00E26D0B" w:rsidRDefault="00C64139" w:rsidP="00C6413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E26D0B">
        <w:rPr>
          <w:bCs/>
          <w:color w:val="000000"/>
          <w:szCs w:val="28"/>
        </w:rPr>
        <w:t xml:space="preserve">Расчет </w:t>
      </w:r>
      <w:r w:rsidRPr="00E26D0B">
        <w:rPr>
          <w:szCs w:val="28"/>
        </w:rPr>
        <w:t xml:space="preserve">показателей среднесрочного прогноза произведен из планируемой суммы чистой прибыли обществ, </w:t>
      </w:r>
      <w:r w:rsidRPr="00E26D0B">
        <w:rPr>
          <w:bCs/>
          <w:color w:val="000000"/>
          <w:szCs w:val="28"/>
        </w:rPr>
        <w:t>исчисленной исходя из</w:t>
      </w:r>
      <w:r w:rsidRPr="00E26D0B">
        <w:rPr>
          <w:szCs w:val="28"/>
        </w:rPr>
        <w:t xml:space="preserve"> российских стандартов по бухгалтерскому учету и долей прибыли, направляемой на выплату дивидендов согласно принятым дивидендным политикам.</w:t>
      </w:r>
    </w:p>
    <w:p w:rsidR="00C64139" w:rsidRPr="00E26D0B" w:rsidRDefault="00C64139" w:rsidP="00C64139">
      <w:pPr>
        <w:ind w:firstLine="709"/>
        <w:jc w:val="both"/>
        <w:outlineLvl w:val="0"/>
        <w:rPr>
          <w:szCs w:val="28"/>
        </w:rPr>
      </w:pPr>
      <w:r w:rsidRPr="00E26D0B">
        <w:rPr>
          <w:szCs w:val="28"/>
        </w:rPr>
        <w:t>Продажа акций хозяйствующих субъектов, находящихся в муниципальной собственности, в 2019–2021 годах не планируется.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r w:rsidRPr="00E26D0B">
        <w:rPr>
          <w:rFonts w:ascii="Times New Roman CYR" w:hAnsi="Times New Roman CYR"/>
        </w:rPr>
        <w:t xml:space="preserve">В 2017 году приватизация муниципального имущества осуществлялась в соответствии с прогнозным планом приватизации, утвержденным решением Липецкого городского Совета депутатов от 04.10.2016 № 242 и в рамках реализации Федерального закона </w:t>
      </w:r>
      <w:r w:rsidRPr="00E26D0B">
        <w:rPr>
          <w:szCs w:val="28"/>
        </w:rPr>
        <w:t xml:space="preserve">от 22.07.2008 </w:t>
      </w:r>
      <w:r w:rsidRPr="00E26D0B">
        <w:rPr>
          <w:rFonts w:ascii="Times New Roman CYR" w:hAnsi="Times New Roman CYR"/>
        </w:rPr>
        <w:t xml:space="preserve">№ 159-ФЗ </w:t>
      </w:r>
      <w:r w:rsidRPr="00E26D0B">
        <w:rPr>
          <w:szCs w:val="28"/>
        </w:rPr>
        <w:t>«</w:t>
      </w:r>
      <w:r w:rsidRPr="00E26D0B">
        <w:rPr>
          <w:bCs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26D0B">
        <w:rPr>
          <w:szCs w:val="28"/>
        </w:rPr>
        <w:t>» (далее - № 159-ФЗ)</w:t>
      </w:r>
      <w:r w:rsidRPr="00E26D0B">
        <w:rPr>
          <w:rFonts w:ascii="Times New Roman CYR" w:hAnsi="Times New Roman CYR"/>
        </w:rPr>
        <w:t>.</w:t>
      </w:r>
    </w:p>
    <w:p w:rsidR="00C64139" w:rsidRPr="00E26D0B" w:rsidRDefault="00C64139" w:rsidP="00C64139">
      <w:pPr>
        <w:ind w:firstLine="709"/>
        <w:jc w:val="both"/>
        <w:rPr>
          <w:szCs w:val="28"/>
        </w:rPr>
      </w:pPr>
      <w:r w:rsidRPr="00E26D0B">
        <w:rPr>
          <w:rFonts w:ascii="Times New Roman CYR" w:hAnsi="Times New Roman CYR"/>
        </w:rPr>
        <w:t xml:space="preserve">Основными принципами формирования плана приватизации муниципального имущества на 2017 год являлось пополнение доходной части бюджета, продажа неликвидных объектов и сокращение затрат, связанных с их содержанием. </w:t>
      </w:r>
      <w:r w:rsidRPr="00E26D0B">
        <w:rPr>
          <w:szCs w:val="28"/>
        </w:rPr>
        <w:t xml:space="preserve">Из 46 объектов недвижимости, включенных в программу приватизации, на аукционах, торгах продано 11 нежилых помещений. Сумма продажи составила 74,6 млн. рублей. В соответствии с № 159-ФЗ заключено 15 договоров купли-продажи на 52,2 млн. рублей с рассрочкой оплаты на 7 лет.  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  <w:rPr>
          <w:szCs w:val="28"/>
        </w:rPr>
      </w:pPr>
      <w:r w:rsidRPr="00E26D0B">
        <w:rPr>
          <w:rFonts w:ascii="Times New Roman CYR" w:hAnsi="Times New Roman CYR"/>
        </w:rPr>
        <w:t xml:space="preserve">Доходная часть городского бюджета от реализации муниципального имущества за 2017 год составила 228297 тыс. рублей. </w:t>
      </w:r>
      <w:r w:rsidRPr="00E26D0B">
        <w:rPr>
          <w:bCs/>
          <w:color w:val="000000"/>
          <w:szCs w:val="28"/>
        </w:rPr>
        <w:t xml:space="preserve">По оценочным данным </w:t>
      </w:r>
      <w:r w:rsidRPr="00E26D0B">
        <w:rPr>
          <w:szCs w:val="28"/>
        </w:rPr>
        <w:t xml:space="preserve">поступления от реализации муниципального имущества в 2018 году составят 140000 тыс. рублей или 61,3% к 2017 году. 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</w:pPr>
      <w:r w:rsidRPr="00E26D0B">
        <w:rPr>
          <w:szCs w:val="28"/>
        </w:rPr>
        <w:t>Прогноз поступлений денежных средств</w:t>
      </w:r>
      <w:r w:rsidRPr="00E26D0B">
        <w:t xml:space="preserve"> от реализации объектов недвижимости определены из расчета плановых поступлений по действующим на данный момент договорам купли-продажи, заключенным в рамках реализации федерального закона о льготной приватизации № 159-ФЗ. </w:t>
      </w:r>
    </w:p>
    <w:p w:rsidR="00C64139" w:rsidRPr="00E26D0B" w:rsidRDefault="00C64139" w:rsidP="00C64139">
      <w:pPr>
        <w:ind w:firstLine="709"/>
        <w:jc w:val="both"/>
      </w:pPr>
      <w:r w:rsidRPr="00E26D0B">
        <w:rPr>
          <w:rFonts w:ascii="Times New Roman CYR" w:hAnsi="Times New Roman CYR"/>
        </w:rPr>
        <w:t>Передача муниципального имущества в аренду так же является одним из действенных и эффективных способов управления и распоряжения муниципальной собственностью.</w:t>
      </w:r>
      <w:r w:rsidRPr="00E26D0B">
        <w:t xml:space="preserve"> </w:t>
      </w:r>
    </w:p>
    <w:p w:rsidR="00C64139" w:rsidRPr="00E26D0B" w:rsidRDefault="00C64139" w:rsidP="00C64139">
      <w:pPr>
        <w:ind w:firstLine="709"/>
        <w:jc w:val="both"/>
      </w:pPr>
      <w:r w:rsidRPr="00E26D0B">
        <w:t>Заключение договоров аренды муниципального имущества осуществляется в соответствии с Федеральным законом от 26.07.2006 № 135-ФЗ «О защите конкуренции» и Положением «О сделках с муниципальным имуществом», утвержденным решением Липецкого городского Совета депутатов от 01.11.2005 №</w:t>
      </w:r>
      <w:r w:rsidR="00163BB9" w:rsidRPr="00163BB9">
        <w:t xml:space="preserve"> </w:t>
      </w:r>
      <w:r w:rsidRPr="00E26D0B">
        <w:t xml:space="preserve">158. 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</w:pPr>
      <w:r w:rsidRPr="00E26D0B">
        <w:t xml:space="preserve">В 2017 году было заключено на новый срок или перезаключено 239 договоров аренды, всего на конец года действовало 389 договоров. 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r w:rsidRPr="00E26D0B">
        <w:rPr>
          <w:rFonts w:ascii="Times New Roman CYR" w:hAnsi="Times New Roman CYR"/>
        </w:rPr>
        <w:t xml:space="preserve">Поступление денежных средств в бюджет города Липецка за аренду нежилых помещений, входящих в состав муниципальной казны в 2017 году составило 98300 тыс. рублей. </w:t>
      </w:r>
    </w:p>
    <w:p w:rsidR="00C64139" w:rsidRPr="00E26D0B" w:rsidRDefault="00C64139" w:rsidP="00C64139">
      <w:pPr>
        <w:tabs>
          <w:tab w:val="left" w:pos="709"/>
        </w:tabs>
        <w:ind w:firstLine="709"/>
        <w:jc w:val="both"/>
      </w:pPr>
      <w:r w:rsidRPr="00E26D0B">
        <w:rPr>
          <w:bCs/>
          <w:color w:val="000000"/>
          <w:szCs w:val="28"/>
        </w:rPr>
        <w:t xml:space="preserve">По оценочным данным поступления </w:t>
      </w:r>
      <w:r w:rsidRPr="00E26D0B">
        <w:rPr>
          <w:rFonts w:ascii="Times New Roman CYR" w:hAnsi="Times New Roman CYR"/>
        </w:rPr>
        <w:t xml:space="preserve">за аренду нежилых помещений в 2018 году составят 45000 тыс. рублей или 45,8% к 2017 году. </w:t>
      </w:r>
      <w:r w:rsidRPr="00E26D0B">
        <w:t>Снижение прогнозных показателей от сдачи в аренду недвижимого имущества по сравнению с 2017 годом связано с погашением задолженности прошлых лет, проведением большого объема претензионно-исковой работы по взысканию задолженности в отношении действующих и расторгнутых договоров аренды, реализацией федерального закона № 159-ФЗ и отсутствием резерва муниципального имущества.</w:t>
      </w:r>
    </w:p>
    <w:p w:rsidR="00C64139" w:rsidRPr="00E26D0B" w:rsidRDefault="00C64139" w:rsidP="00C64139">
      <w:pPr>
        <w:pStyle w:val="aff"/>
        <w:ind w:firstLine="709"/>
        <w:jc w:val="both"/>
        <w:rPr>
          <w:sz w:val="28"/>
          <w:szCs w:val="28"/>
        </w:rPr>
      </w:pPr>
      <w:r w:rsidRPr="00E26D0B">
        <w:rPr>
          <w:sz w:val="28"/>
          <w:szCs w:val="28"/>
        </w:rPr>
        <w:t>Основные показатели использования муниципальной собственности в 2017 году, их оценка на 2018 год и прогноз на 2019–2021 годы приведены в таблице 9.1.</w:t>
      </w:r>
    </w:p>
    <w:p w:rsidR="00C64139" w:rsidRPr="00E26D0B" w:rsidRDefault="00C64139" w:rsidP="00C64139">
      <w:pPr>
        <w:pStyle w:val="aff"/>
        <w:jc w:val="right"/>
        <w:rPr>
          <w:sz w:val="28"/>
          <w:szCs w:val="28"/>
        </w:rPr>
      </w:pPr>
      <w:r w:rsidRPr="00E26D0B">
        <w:rPr>
          <w:sz w:val="28"/>
          <w:szCs w:val="28"/>
        </w:rPr>
        <w:t>Таблица 9.1</w:t>
      </w:r>
    </w:p>
    <w:p w:rsidR="00C64139" w:rsidRPr="00E26D0B" w:rsidRDefault="00C64139" w:rsidP="00C64139">
      <w:pPr>
        <w:pStyle w:val="aff"/>
        <w:rPr>
          <w:b/>
        </w:rPr>
      </w:pPr>
    </w:p>
    <w:p w:rsidR="00C64139" w:rsidRPr="00E26D0B" w:rsidRDefault="00C64139" w:rsidP="00C64139">
      <w:pPr>
        <w:pStyle w:val="aff"/>
        <w:jc w:val="center"/>
        <w:rPr>
          <w:b/>
          <w:sz w:val="28"/>
          <w:szCs w:val="28"/>
        </w:rPr>
      </w:pPr>
      <w:r w:rsidRPr="00E26D0B">
        <w:rPr>
          <w:b/>
          <w:sz w:val="28"/>
          <w:szCs w:val="28"/>
        </w:rPr>
        <w:t>Основные показатели по муниципальному имуществу</w:t>
      </w:r>
    </w:p>
    <w:p w:rsidR="00C64139" w:rsidRPr="00E26D0B" w:rsidRDefault="00C64139" w:rsidP="00C6413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417"/>
        <w:gridCol w:w="1560"/>
        <w:gridCol w:w="1417"/>
        <w:gridCol w:w="1276"/>
      </w:tblGrid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</w:p>
          <w:p w:rsidR="00C64139" w:rsidRPr="00E26D0B" w:rsidRDefault="00C64139" w:rsidP="00783ABD">
            <w:pPr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2017 год</w:t>
            </w:r>
          </w:p>
          <w:p w:rsidR="00C64139" w:rsidRPr="00E26D0B" w:rsidRDefault="00C64139" w:rsidP="00783AB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2018 год</w:t>
            </w:r>
          </w:p>
          <w:p w:rsidR="00C64139" w:rsidRPr="00E26D0B" w:rsidRDefault="00C64139" w:rsidP="00783AB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2019 год</w:t>
            </w:r>
          </w:p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2020 год</w:t>
            </w:r>
          </w:p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2021 год</w:t>
            </w:r>
          </w:p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прогноз</w:t>
            </w:r>
          </w:p>
          <w:p w:rsidR="00C64139" w:rsidRPr="00E26D0B" w:rsidRDefault="00C64139" w:rsidP="00783A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Сумма дивидендов по акциям, находящимся в муниципальной собственности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  <w:lang w:val="en-US"/>
              </w:rP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  <w:lang w:val="en-US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  <w:lang w:val="en-US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  <w:lang w:val="en-US"/>
              </w:rPr>
            </w:pPr>
            <w:r w:rsidRPr="00E26D0B">
              <w:rPr>
                <w:sz w:val="22"/>
                <w:szCs w:val="22"/>
                <w:lang w:val="en-US"/>
              </w:rPr>
              <w:t>483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  <w:lang w:val="en-US"/>
              </w:rPr>
              <w:t>47</w:t>
            </w:r>
            <w:r w:rsidRPr="00E26D0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101,1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Поступления от продажи акций, находящихся в муниципальной собственности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0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-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Поступления от реализации муниципального имущества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228297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79500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38000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65,5</w:t>
            </w:r>
          </w:p>
        </w:tc>
      </w:tr>
      <w:tr w:rsidR="00C64139" w:rsidRPr="00E26D0B" w:rsidTr="00783AB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b/>
                <w:sz w:val="22"/>
                <w:szCs w:val="22"/>
              </w:rPr>
            </w:pPr>
            <w:r w:rsidRPr="00E26D0B">
              <w:rPr>
                <w:b/>
                <w:sz w:val="22"/>
                <w:szCs w:val="22"/>
              </w:rPr>
              <w:t>Поступления от сдачи в аренду муниципального имущества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98300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30000</w:t>
            </w:r>
          </w:p>
        </w:tc>
      </w:tr>
      <w:tr w:rsidR="00C64139" w:rsidRPr="00E26D0B" w:rsidTr="0078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39" w:rsidRPr="00E26D0B" w:rsidRDefault="00C64139" w:rsidP="00783ABD">
            <w:pPr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39" w:rsidRPr="00E26D0B" w:rsidRDefault="00C64139" w:rsidP="00783ABD">
            <w:pPr>
              <w:jc w:val="center"/>
              <w:rPr>
                <w:sz w:val="22"/>
                <w:szCs w:val="22"/>
              </w:rPr>
            </w:pPr>
            <w:r w:rsidRPr="00E26D0B">
              <w:rPr>
                <w:sz w:val="22"/>
                <w:szCs w:val="22"/>
              </w:rPr>
              <w:t>75,0</w:t>
            </w:r>
          </w:p>
        </w:tc>
      </w:tr>
    </w:tbl>
    <w:p w:rsidR="00C64139" w:rsidRPr="00E26D0B" w:rsidRDefault="00C64139" w:rsidP="00C64139">
      <w:pPr>
        <w:pStyle w:val="210"/>
        <w:rPr>
          <w:szCs w:val="28"/>
          <w:lang w:val="ru-RU"/>
        </w:rPr>
      </w:pPr>
    </w:p>
    <w:p w:rsidR="00C64139" w:rsidRPr="00E26D0B" w:rsidRDefault="00C64139" w:rsidP="00C64139">
      <w:pPr>
        <w:pStyle w:val="210"/>
        <w:rPr>
          <w:lang w:val="ru-RU"/>
        </w:rPr>
      </w:pPr>
      <w:r w:rsidRPr="00E26D0B">
        <w:rPr>
          <w:lang w:val="ru-RU"/>
        </w:rPr>
        <w:t xml:space="preserve">  </w:t>
      </w:r>
    </w:p>
    <w:p w:rsidR="00C64139" w:rsidRPr="00E26D0B" w:rsidRDefault="00C64139" w:rsidP="00C64139">
      <w:pPr>
        <w:pStyle w:val="210"/>
        <w:rPr>
          <w:lang w:val="ru-RU"/>
        </w:rPr>
      </w:pPr>
    </w:p>
    <w:p w:rsidR="00C64139" w:rsidRPr="00E26D0B" w:rsidRDefault="00C64139" w:rsidP="00C64139">
      <w:pPr>
        <w:pStyle w:val="210"/>
        <w:rPr>
          <w:lang w:val="ru-RU"/>
        </w:rPr>
      </w:pPr>
      <w:r w:rsidRPr="00E26D0B">
        <w:rPr>
          <w:lang w:val="ru-RU"/>
        </w:rPr>
        <w:t>Председатель департамента</w:t>
      </w:r>
    </w:p>
    <w:p w:rsidR="00C64139" w:rsidRDefault="00C64139" w:rsidP="00C64139">
      <w:pPr>
        <w:pStyle w:val="210"/>
        <w:rPr>
          <w:lang w:val="ru-RU"/>
        </w:rPr>
      </w:pPr>
      <w:r w:rsidRPr="00E26D0B">
        <w:rPr>
          <w:lang w:val="ru-RU"/>
        </w:rPr>
        <w:t>экономического развития</w:t>
      </w:r>
      <w:r w:rsidRPr="00E26D0B">
        <w:rPr>
          <w:lang w:val="ru-RU"/>
        </w:rPr>
        <w:tab/>
      </w:r>
      <w:r w:rsidRPr="00E26D0B">
        <w:rPr>
          <w:lang w:val="ru-RU"/>
        </w:rPr>
        <w:tab/>
      </w:r>
      <w:r w:rsidRPr="00E26D0B">
        <w:rPr>
          <w:lang w:val="ru-RU"/>
        </w:rPr>
        <w:tab/>
      </w:r>
      <w:r w:rsidRPr="00E26D0B">
        <w:rPr>
          <w:lang w:val="ru-RU"/>
        </w:rPr>
        <w:tab/>
      </w:r>
      <w:r w:rsidRPr="00E26D0B">
        <w:rPr>
          <w:lang w:val="ru-RU"/>
        </w:rPr>
        <w:tab/>
      </w:r>
      <w:r w:rsidRPr="00E26D0B">
        <w:rPr>
          <w:lang w:val="ru-RU"/>
        </w:rPr>
        <w:tab/>
        <w:t xml:space="preserve">         Е.Н.Белокопытова</w:t>
      </w:r>
    </w:p>
    <w:p w:rsidR="00C64139" w:rsidRDefault="00C64139" w:rsidP="00C64139"/>
    <w:p w:rsidR="006D675C" w:rsidRPr="00C64139" w:rsidRDefault="006D675C" w:rsidP="00C64139"/>
    <w:sectPr w:rsidR="006D675C" w:rsidRPr="00C64139" w:rsidSect="00EB4BB9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B3" w:rsidRDefault="00624DB3" w:rsidP="004337D3">
      <w:r>
        <w:separator/>
      </w:r>
    </w:p>
  </w:endnote>
  <w:endnote w:type="continuationSeparator" w:id="0">
    <w:p w:rsidR="00624DB3" w:rsidRDefault="00624DB3" w:rsidP="004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B3" w:rsidRDefault="00624DB3" w:rsidP="004337D3">
      <w:r>
        <w:separator/>
      </w:r>
    </w:p>
  </w:footnote>
  <w:footnote w:type="continuationSeparator" w:id="0">
    <w:p w:rsidR="00624DB3" w:rsidRDefault="00624DB3" w:rsidP="0043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BD" w:rsidRDefault="00C747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47BD" w:rsidRDefault="00C747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BD" w:rsidRDefault="00C747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6676">
      <w:rPr>
        <w:rStyle w:val="ab"/>
        <w:noProof/>
      </w:rPr>
      <w:t>2</w:t>
    </w:r>
    <w:r>
      <w:rPr>
        <w:rStyle w:val="ab"/>
      </w:rPr>
      <w:fldChar w:fldCharType="end"/>
    </w:r>
  </w:p>
  <w:p w:rsidR="00C747BD" w:rsidRDefault="00C747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5B2E144"/>
    <w:lvl w:ilvl="0">
      <w:start w:val="1"/>
      <w:numFmt w:val="bullet"/>
      <w:pStyle w:val="xl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EE8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3A65C6"/>
    <w:lvl w:ilvl="0">
      <w:start w:val="1"/>
      <w:numFmt w:val="bullet"/>
      <w:pStyle w:val="e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5E14AEDA"/>
    <w:lvl w:ilvl="0">
      <w:numFmt w:val="bullet"/>
      <w:lvlText w:val="*"/>
      <w:lvlJc w:val="left"/>
    </w:lvl>
  </w:abstractNum>
  <w:abstractNum w:abstractNumId="4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D7E4947"/>
    <w:multiLevelType w:val="hybridMultilevel"/>
    <w:tmpl w:val="B40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352C"/>
    <w:multiLevelType w:val="hybridMultilevel"/>
    <w:tmpl w:val="54944C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F4A32"/>
    <w:multiLevelType w:val="hybridMultilevel"/>
    <w:tmpl w:val="5CEACF3E"/>
    <w:lvl w:ilvl="0" w:tplc="373A1C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D3172"/>
    <w:multiLevelType w:val="hybridMultilevel"/>
    <w:tmpl w:val="2172985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73F06"/>
    <w:multiLevelType w:val="hybridMultilevel"/>
    <w:tmpl w:val="26E222EA"/>
    <w:lvl w:ilvl="0" w:tplc="06E4DAD2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06453"/>
    <w:multiLevelType w:val="hybridMultilevel"/>
    <w:tmpl w:val="103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B781D"/>
    <w:multiLevelType w:val="singleLevel"/>
    <w:tmpl w:val="57DACD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D851DC"/>
    <w:multiLevelType w:val="hybridMultilevel"/>
    <w:tmpl w:val="BA944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C3874"/>
    <w:multiLevelType w:val="hybridMultilevel"/>
    <w:tmpl w:val="0C1623CC"/>
    <w:lvl w:ilvl="0" w:tplc="99C80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C635C7"/>
    <w:multiLevelType w:val="hybridMultilevel"/>
    <w:tmpl w:val="873CA524"/>
    <w:lvl w:ilvl="0" w:tplc="5C16464C">
      <w:start w:val="8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B2CE9"/>
    <w:multiLevelType w:val="hybridMultilevel"/>
    <w:tmpl w:val="B008B83C"/>
    <w:lvl w:ilvl="0" w:tplc="BC7432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B0490"/>
    <w:multiLevelType w:val="hybridMultilevel"/>
    <w:tmpl w:val="52807A1E"/>
    <w:lvl w:ilvl="0" w:tplc="FD0659D4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010CE"/>
    <w:rsid w:val="00013187"/>
    <w:rsid w:val="0001463C"/>
    <w:rsid w:val="00017651"/>
    <w:rsid w:val="00024FE2"/>
    <w:rsid w:val="0002520D"/>
    <w:rsid w:val="00026124"/>
    <w:rsid w:val="000262EF"/>
    <w:rsid w:val="0004176F"/>
    <w:rsid w:val="0004446D"/>
    <w:rsid w:val="00045643"/>
    <w:rsid w:val="00045D02"/>
    <w:rsid w:val="00051C1E"/>
    <w:rsid w:val="0005442A"/>
    <w:rsid w:val="000549EE"/>
    <w:rsid w:val="00054CC1"/>
    <w:rsid w:val="000560A5"/>
    <w:rsid w:val="000565EA"/>
    <w:rsid w:val="000668AC"/>
    <w:rsid w:val="000728A8"/>
    <w:rsid w:val="000750F0"/>
    <w:rsid w:val="00075B41"/>
    <w:rsid w:val="0008259B"/>
    <w:rsid w:val="00085CFD"/>
    <w:rsid w:val="0008617F"/>
    <w:rsid w:val="000873AF"/>
    <w:rsid w:val="00090EC2"/>
    <w:rsid w:val="0009264E"/>
    <w:rsid w:val="0009268E"/>
    <w:rsid w:val="000975B4"/>
    <w:rsid w:val="00097B4E"/>
    <w:rsid w:val="000A086D"/>
    <w:rsid w:val="000A0D01"/>
    <w:rsid w:val="000A0F48"/>
    <w:rsid w:val="000A464F"/>
    <w:rsid w:val="000A7737"/>
    <w:rsid w:val="000B1AB8"/>
    <w:rsid w:val="000B4CCA"/>
    <w:rsid w:val="000B6AB2"/>
    <w:rsid w:val="000C108E"/>
    <w:rsid w:val="000C4A7B"/>
    <w:rsid w:val="000C6C21"/>
    <w:rsid w:val="000C6C67"/>
    <w:rsid w:val="000C7C6D"/>
    <w:rsid w:val="000D2B40"/>
    <w:rsid w:val="000D4226"/>
    <w:rsid w:val="000D4EB9"/>
    <w:rsid w:val="000D4EF2"/>
    <w:rsid w:val="000D75F3"/>
    <w:rsid w:val="000E2DD2"/>
    <w:rsid w:val="000E40AA"/>
    <w:rsid w:val="000E4861"/>
    <w:rsid w:val="000E53E6"/>
    <w:rsid w:val="000E5596"/>
    <w:rsid w:val="000F1F0B"/>
    <w:rsid w:val="000F2902"/>
    <w:rsid w:val="000F38B7"/>
    <w:rsid w:val="000F648F"/>
    <w:rsid w:val="001004F8"/>
    <w:rsid w:val="00102C52"/>
    <w:rsid w:val="001044F2"/>
    <w:rsid w:val="0011323C"/>
    <w:rsid w:val="001132DD"/>
    <w:rsid w:val="00114830"/>
    <w:rsid w:val="001216E8"/>
    <w:rsid w:val="00123277"/>
    <w:rsid w:val="0012352F"/>
    <w:rsid w:val="0012368D"/>
    <w:rsid w:val="00124433"/>
    <w:rsid w:val="00124E39"/>
    <w:rsid w:val="001252C6"/>
    <w:rsid w:val="00125FF4"/>
    <w:rsid w:val="001264B8"/>
    <w:rsid w:val="0012791D"/>
    <w:rsid w:val="00130CDE"/>
    <w:rsid w:val="00137B01"/>
    <w:rsid w:val="00142E84"/>
    <w:rsid w:val="0014446D"/>
    <w:rsid w:val="00144D70"/>
    <w:rsid w:val="00150016"/>
    <w:rsid w:val="001509C6"/>
    <w:rsid w:val="00152161"/>
    <w:rsid w:val="00152EA7"/>
    <w:rsid w:val="00153E2B"/>
    <w:rsid w:val="001548AE"/>
    <w:rsid w:val="001552BA"/>
    <w:rsid w:val="00155DEF"/>
    <w:rsid w:val="00156080"/>
    <w:rsid w:val="00161743"/>
    <w:rsid w:val="0016174B"/>
    <w:rsid w:val="00161829"/>
    <w:rsid w:val="00163BB9"/>
    <w:rsid w:val="00163E37"/>
    <w:rsid w:val="0016406C"/>
    <w:rsid w:val="001647E5"/>
    <w:rsid w:val="00164C49"/>
    <w:rsid w:val="00165E59"/>
    <w:rsid w:val="00166469"/>
    <w:rsid w:val="00167FC0"/>
    <w:rsid w:val="001703C8"/>
    <w:rsid w:val="00173704"/>
    <w:rsid w:val="00180E4D"/>
    <w:rsid w:val="0018154F"/>
    <w:rsid w:val="001824B3"/>
    <w:rsid w:val="00182A5A"/>
    <w:rsid w:val="00183902"/>
    <w:rsid w:val="00184803"/>
    <w:rsid w:val="00185A8F"/>
    <w:rsid w:val="00185F6A"/>
    <w:rsid w:val="001862DC"/>
    <w:rsid w:val="00192742"/>
    <w:rsid w:val="0019679F"/>
    <w:rsid w:val="001971E9"/>
    <w:rsid w:val="00197D9D"/>
    <w:rsid w:val="001A0C8B"/>
    <w:rsid w:val="001A16CD"/>
    <w:rsid w:val="001A2F1D"/>
    <w:rsid w:val="001A3EE6"/>
    <w:rsid w:val="001A735C"/>
    <w:rsid w:val="001B60F5"/>
    <w:rsid w:val="001B6EE2"/>
    <w:rsid w:val="001B7444"/>
    <w:rsid w:val="001C0B89"/>
    <w:rsid w:val="001C0C3F"/>
    <w:rsid w:val="001C1760"/>
    <w:rsid w:val="001C3E50"/>
    <w:rsid w:val="001C46CA"/>
    <w:rsid w:val="001D03E7"/>
    <w:rsid w:val="001D04C3"/>
    <w:rsid w:val="001D150A"/>
    <w:rsid w:val="001D3059"/>
    <w:rsid w:val="001D549B"/>
    <w:rsid w:val="001D6A13"/>
    <w:rsid w:val="001E051D"/>
    <w:rsid w:val="001E09EF"/>
    <w:rsid w:val="001E0A75"/>
    <w:rsid w:val="001E0CDF"/>
    <w:rsid w:val="001E2C72"/>
    <w:rsid w:val="001E35C5"/>
    <w:rsid w:val="001E5256"/>
    <w:rsid w:val="001E53F3"/>
    <w:rsid w:val="001F146D"/>
    <w:rsid w:val="001F21F6"/>
    <w:rsid w:val="001F6716"/>
    <w:rsid w:val="00200831"/>
    <w:rsid w:val="00203D27"/>
    <w:rsid w:val="002042D2"/>
    <w:rsid w:val="002045CD"/>
    <w:rsid w:val="00204AD1"/>
    <w:rsid w:val="00206596"/>
    <w:rsid w:val="002069E3"/>
    <w:rsid w:val="00207780"/>
    <w:rsid w:val="002117AE"/>
    <w:rsid w:val="00214440"/>
    <w:rsid w:val="00214719"/>
    <w:rsid w:val="00215F2C"/>
    <w:rsid w:val="00216889"/>
    <w:rsid w:val="00220B21"/>
    <w:rsid w:val="00221AF9"/>
    <w:rsid w:val="00222DD8"/>
    <w:rsid w:val="00225955"/>
    <w:rsid w:val="00225CEA"/>
    <w:rsid w:val="002263E9"/>
    <w:rsid w:val="00230445"/>
    <w:rsid w:val="00232877"/>
    <w:rsid w:val="0023293F"/>
    <w:rsid w:val="00234E79"/>
    <w:rsid w:val="0024100F"/>
    <w:rsid w:val="0024341F"/>
    <w:rsid w:val="00244381"/>
    <w:rsid w:val="0024629D"/>
    <w:rsid w:val="00253AEC"/>
    <w:rsid w:val="00255B56"/>
    <w:rsid w:val="00256CAA"/>
    <w:rsid w:val="0025783B"/>
    <w:rsid w:val="00260ABB"/>
    <w:rsid w:val="00263011"/>
    <w:rsid w:val="00264C3E"/>
    <w:rsid w:val="00265C7C"/>
    <w:rsid w:val="00266E80"/>
    <w:rsid w:val="002703B1"/>
    <w:rsid w:val="00270FB6"/>
    <w:rsid w:val="0027393A"/>
    <w:rsid w:val="002811EB"/>
    <w:rsid w:val="00281BD1"/>
    <w:rsid w:val="0028341F"/>
    <w:rsid w:val="00284453"/>
    <w:rsid w:val="00286B78"/>
    <w:rsid w:val="002905C3"/>
    <w:rsid w:val="00290AEB"/>
    <w:rsid w:val="00290CFF"/>
    <w:rsid w:val="002923AE"/>
    <w:rsid w:val="00292A61"/>
    <w:rsid w:val="002931E0"/>
    <w:rsid w:val="00295CAE"/>
    <w:rsid w:val="00296077"/>
    <w:rsid w:val="00296711"/>
    <w:rsid w:val="00296F87"/>
    <w:rsid w:val="0029709D"/>
    <w:rsid w:val="002971F6"/>
    <w:rsid w:val="002A1CC3"/>
    <w:rsid w:val="002A431C"/>
    <w:rsid w:val="002A6CDB"/>
    <w:rsid w:val="002B0A39"/>
    <w:rsid w:val="002B2028"/>
    <w:rsid w:val="002B3692"/>
    <w:rsid w:val="002B4A57"/>
    <w:rsid w:val="002B4A9D"/>
    <w:rsid w:val="002B6B7E"/>
    <w:rsid w:val="002C05A6"/>
    <w:rsid w:val="002C0A81"/>
    <w:rsid w:val="002C41B1"/>
    <w:rsid w:val="002C552B"/>
    <w:rsid w:val="002C6D24"/>
    <w:rsid w:val="002C70F3"/>
    <w:rsid w:val="002D25FE"/>
    <w:rsid w:val="002D2D15"/>
    <w:rsid w:val="002D2E61"/>
    <w:rsid w:val="002D3C7E"/>
    <w:rsid w:val="002E0DE3"/>
    <w:rsid w:val="002E0EBD"/>
    <w:rsid w:val="002E1D42"/>
    <w:rsid w:val="002E407C"/>
    <w:rsid w:val="002E4A45"/>
    <w:rsid w:val="002E62B0"/>
    <w:rsid w:val="002E6A57"/>
    <w:rsid w:val="002F11D5"/>
    <w:rsid w:val="002F425D"/>
    <w:rsid w:val="002F5037"/>
    <w:rsid w:val="00307C76"/>
    <w:rsid w:val="003166D3"/>
    <w:rsid w:val="003169AA"/>
    <w:rsid w:val="00320437"/>
    <w:rsid w:val="00320F0D"/>
    <w:rsid w:val="00321CE6"/>
    <w:rsid w:val="00321EE4"/>
    <w:rsid w:val="00324D2B"/>
    <w:rsid w:val="00325436"/>
    <w:rsid w:val="00331222"/>
    <w:rsid w:val="00332323"/>
    <w:rsid w:val="00336839"/>
    <w:rsid w:val="00336AA2"/>
    <w:rsid w:val="0034459B"/>
    <w:rsid w:val="00346A01"/>
    <w:rsid w:val="003473FE"/>
    <w:rsid w:val="00347FBF"/>
    <w:rsid w:val="0035436E"/>
    <w:rsid w:val="0035625A"/>
    <w:rsid w:val="00360872"/>
    <w:rsid w:val="003618CF"/>
    <w:rsid w:val="00362068"/>
    <w:rsid w:val="00362254"/>
    <w:rsid w:val="0036465D"/>
    <w:rsid w:val="003659D5"/>
    <w:rsid w:val="003664D2"/>
    <w:rsid w:val="00371B41"/>
    <w:rsid w:val="00373D1C"/>
    <w:rsid w:val="003741A2"/>
    <w:rsid w:val="003825DD"/>
    <w:rsid w:val="00382D41"/>
    <w:rsid w:val="003875E3"/>
    <w:rsid w:val="00390B9A"/>
    <w:rsid w:val="0039146A"/>
    <w:rsid w:val="00391FA1"/>
    <w:rsid w:val="00393FCB"/>
    <w:rsid w:val="003A3399"/>
    <w:rsid w:val="003A567A"/>
    <w:rsid w:val="003A72F8"/>
    <w:rsid w:val="003B0EC6"/>
    <w:rsid w:val="003B49DB"/>
    <w:rsid w:val="003B5995"/>
    <w:rsid w:val="003C0D8C"/>
    <w:rsid w:val="003C0F2C"/>
    <w:rsid w:val="003C7632"/>
    <w:rsid w:val="003C7EE8"/>
    <w:rsid w:val="003D05E1"/>
    <w:rsid w:val="003D1C15"/>
    <w:rsid w:val="003D58AE"/>
    <w:rsid w:val="003E042D"/>
    <w:rsid w:val="003E2100"/>
    <w:rsid w:val="003E748A"/>
    <w:rsid w:val="003F1428"/>
    <w:rsid w:val="003F1839"/>
    <w:rsid w:val="003F19C4"/>
    <w:rsid w:val="003F2129"/>
    <w:rsid w:val="003F217B"/>
    <w:rsid w:val="003F3B62"/>
    <w:rsid w:val="003F53B3"/>
    <w:rsid w:val="003F79E1"/>
    <w:rsid w:val="003F7F2E"/>
    <w:rsid w:val="00406CFA"/>
    <w:rsid w:val="004103A2"/>
    <w:rsid w:val="004105A2"/>
    <w:rsid w:val="004128D6"/>
    <w:rsid w:val="00412E93"/>
    <w:rsid w:val="00414B20"/>
    <w:rsid w:val="00416C6F"/>
    <w:rsid w:val="00417CA4"/>
    <w:rsid w:val="0042087E"/>
    <w:rsid w:val="00421B13"/>
    <w:rsid w:val="00423A31"/>
    <w:rsid w:val="00427A9C"/>
    <w:rsid w:val="004337D3"/>
    <w:rsid w:val="00433E74"/>
    <w:rsid w:val="004350A2"/>
    <w:rsid w:val="004356FB"/>
    <w:rsid w:val="004372A4"/>
    <w:rsid w:val="004374E5"/>
    <w:rsid w:val="00443060"/>
    <w:rsid w:val="00443799"/>
    <w:rsid w:val="004457BB"/>
    <w:rsid w:val="00447300"/>
    <w:rsid w:val="004478D2"/>
    <w:rsid w:val="004551E2"/>
    <w:rsid w:val="00457029"/>
    <w:rsid w:val="00457AA9"/>
    <w:rsid w:val="00457C6B"/>
    <w:rsid w:val="00464140"/>
    <w:rsid w:val="004653A4"/>
    <w:rsid w:val="00467342"/>
    <w:rsid w:val="00467346"/>
    <w:rsid w:val="00467386"/>
    <w:rsid w:val="00467D04"/>
    <w:rsid w:val="00467F7C"/>
    <w:rsid w:val="00475AC8"/>
    <w:rsid w:val="00476821"/>
    <w:rsid w:val="00477550"/>
    <w:rsid w:val="00477D8A"/>
    <w:rsid w:val="00482C86"/>
    <w:rsid w:val="004838DF"/>
    <w:rsid w:val="004854A5"/>
    <w:rsid w:val="00491894"/>
    <w:rsid w:val="00492746"/>
    <w:rsid w:val="004933C9"/>
    <w:rsid w:val="004949D8"/>
    <w:rsid w:val="00496296"/>
    <w:rsid w:val="004A305C"/>
    <w:rsid w:val="004A438F"/>
    <w:rsid w:val="004B0C22"/>
    <w:rsid w:val="004B0CDF"/>
    <w:rsid w:val="004B571F"/>
    <w:rsid w:val="004B72E3"/>
    <w:rsid w:val="004C0D87"/>
    <w:rsid w:val="004C223B"/>
    <w:rsid w:val="004C4662"/>
    <w:rsid w:val="004D0776"/>
    <w:rsid w:val="004D2AA4"/>
    <w:rsid w:val="004D3E83"/>
    <w:rsid w:val="004D4870"/>
    <w:rsid w:val="004D4A1D"/>
    <w:rsid w:val="004E1A09"/>
    <w:rsid w:val="004E1BC3"/>
    <w:rsid w:val="004E2DC9"/>
    <w:rsid w:val="004E5035"/>
    <w:rsid w:val="004E7A67"/>
    <w:rsid w:val="004F41E9"/>
    <w:rsid w:val="004F48BA"/>
    <w:rsid w:val="004F4AFE"/>
    <w:rsid w:val="004F524D"/>
    <w:rsid w:val="00502FA0"/>
    <w:rsid w:val="0050355F"/>
    <w:rsid w:val="0050616D"/>
    <w:rsid w:val="0051129D"/>
    <w:rsid w:val="00511655"/>
    <w:rsid w:val="00511FC4"/>
    <w:rsid w:val="00512A04"/>
    <w:rsid w:val="005147AB"/>
    <w:rsid w:val="00515BEF"/>
    <w:rsid w:val="0052218F"/>
    <w:rsid w:val="005310E6"/>
    <w:rsid w:val="00533D0B"/>
    <w:rsid w:val="00534ADD"/>
    <w:rsid w:val="005363A0"/>
    <w:rsid w:val="00537494"/>
    <w:rsid w:val="00542481"/>
    <w:rsid w:val="00542ACB"/>
    <w:rsid w:val="00544773"/>
    <w:rsid w:val="00544C4E"/>
    <w:rsid w:val="00546300"/>
    <w:rsid w:val="005476C8"/>
    <w:rsid w:val="00550EDE"/>
    <w:rsid w:val="005515F8"/>
    <w:rsid w:val="005522AE"/>
    <w:rsid w:val="00553BAA"/>
    <w:rsid w:val="00556B24"/>
    <w:rsid w:val="0055728B"/>
    <w:rsid w:val="00560162"/>
    <w:rsid w:val="00562C50"/>
    <w:rsid w:val="0056352E"/>
    <w:rsid w:val="005657A9"/>
    <w:rsid w:val="00565906"/>
    <w:rsid w:val="00571B0E"/>
    <w:rsid w:val="005721D8"/>
    <w:rsid w:val="005725DB"/>
    <w:rsid w:val="00572CE3"/>
    <w:rsid w:val="00574126"/>
    <w:rsid w:val="00574BE4"/>
    <w:rsid w:val="005753D8"/>
    <w:rsid w:val="005774A5"/>
    <w:rsid w:val="00577A31"/>
    <w:rsid w:val="00580ACE"/>
    <w:rsid w:val="00581CE8"/>
    <w:rsid w:val="00582BF5"/>
    <w:rsid w:val="00582EBA"/>
    <w:rsid w:val="00585ECA"/>
    <w:rsid w:val="00587EEB"/>
    <w:rsid w:val="00591189"/>
    <w:rsid w:val="00592417"/>
    <w:rsid w:val="0059356C"/>
    <w:rsid w:val="00595347"/>
    <w:rsid w:val="00595762"/>
    <w:rsid w:val="00596F97"/>
    <w:rsid w:val="005A1F66"/>
    <w:rsid w:val="005A2772"/>
    <w:rsid w:val="005B13ED"/>
    <w:rsid w:val="005B2B72"/>
    <w:rsid w:val="005B422D"/>
    <w:rsid w:val="005B491D"/>
    <w:rsid w:val="005B7097"/>
    <w:rsid w:val="005B720D"/>
    <w:rsid w:val="005C1D9A"/>
    <w:rsid w:val="005C3F00"/>
    <w:rsid w:val="005C69AA"/>
    <w:rsid w:val="005D046D"/>
    <w:rsid w:val="005D1F13"/>
    <w:rsid w:val="005D23ED"/>
    <w:rsid w:val="005D2B67"/>
    <w:rsid w:val="005D54FA"/>
    <w:rsid w:val="005D76AE"/>
    <w:rsid w:val="005E03C0"/>
    <w:rsid w:val="005E68B2"/>
    <w:rsid w:val="005E7D2F"/>
    <w:rsid w:val="005F2A17"/>
    <w:rsid w:val="005F315E"/>
    <w:rsid w:val="005F32B8"/>
    <w:rsid w:val="005F598F"/>
    <w:rsid w:val="005F75A2"/>
    <w:rsid w:val="005F76E6"/>
    <w:rsid w:val="005F7D97"/>
    <w:rsid w:val="005F7FF7"/>
    <w:rsid w:val="006016D6"/>
    <w:rsid w:val="00602BA2"/>
    <w:rsid w:val="00602CCF"/>
    <w:rsid w:val="00604038"/>
    <w:rsid w:val="006040DE"/>
    <w:rsid w:val="00610962"/>
    <w:rsid w:val="00611203"/>
    <w:rsid w:val="00612703"/>
    <w:rsid w:val="00615A89"/>
    <w:rsid w:val="00616243"/>
    <w:rsid w:val="0061688C"/>
    <w:rsid w:val="00616A1D"/>
    <w:rsid w:val="006216AF"/>
    <w:rsid w:val="006227AD"/>
    <w:rsid w:val="00624DB3"/>
    <w:rsid w:val="00625C0F"/>
    <w:rsid w:val="00631F1B"/>
    <w:rsid w:val="00632474"/>
    <w:rsid w:val="00635394"/>
    <w:rsid w:val="0063684B"/>
    <w:rsid w:val="00643B21"/>
    <w:rsid w:val="00645700"/>
    <w:rsid w:val="006508F5"/>
    <w:rsid w:val="00650D27"/>
    <w:rsid w:val="00651614"/>
    <w:rsid w:val="006545A1"/>
    <w:rsid w:val="00655AEE"/>
    <w:rsid w:val="0066160E"/>
    <w:rsid w:val="006622AA"/>
    <w:rsid w:val="00662953"/>
    <w:rsid w:val="006630B5"/>
    <w:rsid w:val="00663862"/>
    <w:rsid w:val="00667FEF"/>
    <w:rsid w:val="00671FBE"/>
    <w:rsid w:val="00672527"/>
    <w:rsid w:val="00674683"/>
    <w:rsid w:val="00682EEA"/>
    <w:rsid w:val="006838EB"/>
    <w:rsid w:val="00684227"/>
    <w:rsid w:val="00684B40"/>
    <w:rsid w:val="00686C48"/>
    <w:rsid w:val="00690114"/>
    <w:rsid w:val="00690C3C"/>
    <w:rsid w:val="00691EFE"/>
    <w:rsid w:val="006921EA"/>
    <w:rsid w:val="00692E26"/>
    <w:rsid w:val="0069501C"/>
    <w:rsid w:val="00695470"/>
    <w:rsid w:val="00695F2D"/>
    <w:rsid w:val="00697F58"/>
    <w:rsid w:val="006A0B1D"/>
    <w:rsid w:val="006A1643"/>
    <w:rsid w:val="006A4A40"/>
    <w:rsid w:val="006A5944"/>
    <w:rsid w:val="006A7B82"/>
    <w:rsid w:val="006B0513"/>
    <w:rsid w:val="006B218F"/>
    <w:rsid w:val="006B3E6F"/>
    <w:rsid w:val="006B4CD2"/>
    <w:rsid w:val="006B506F"/>
    <w:rsid w:val="006B5D3A"/>
    <w:rsid w:val="006B61CD"/>
    <w:rsid w:val="006B736A"/>
    <w:rsid w:val="006C5DCD"/>
    <w:rsid w:val="006C7E6B"/>
    <w:rsid w:val="006D226C"/>
    <w:rsid w:val="006D675C"/>
    <w:rsid w:val="006D7059"/>
    <w:rsid w:val="006E12B5"/>
    <w:rsid w:val="006F06A7"/>
    <w:rsid w:val="006F20B3"/>
    <w:rsid w:val="006F2102"/>
    <w:rsid w:val="006F2973"/>
    <w:rsid w:val="006F3548"/>
    <w:rsid w:val="006F3F65"/>
    <w:rsid w:val="00701B7B"/>
    <w:rsid w:val="007028F5"/>
    <w:rsid w:val="00704656"/>
    <w:rsid w:val="00704AAE"/>
    <w:rsid w:val="00704D18"/>
    <w:rsid w:val="00705315"/>
    <w:rsid w:val="00715A9F"/>
    <w:rsid w:val="0071779C"/>
    <w:rsid w:val="0072012E"/>
    <w:rsid w:val="00720851"/>
    <w:rsid w:val="00722CF6"/>
    <w:rsid w:val="00724A38"/>
    <w:rsid w:val="007308C9"/>
    <w:rsid w:val="00731442"/>
    <w:rsid w:val="007334E7"/>
    <w:rsid w:val="00735CAE"/>
    <w:rsid w:val="00740119"/>
    <w:rsid w:val="00741B3A"/>
    <w:rsid w:val="00742B63"/>
    <w:rsid w:val="007432AD"/>
    <w:rsid w:val="00743FA8"/>
    <w:rsid w:val="00744051"/>
    <w:rsid w:val="00751503"/>
    <w:rsid w:val="00753EAA"/>
    <w:rsid w:val="007553A9"/>
    <w:rsid w:val="007553ED"/>
    <w:rsid w:val="00757DED"/>
    <w:rsid w:val="00757E9D"/>
    <w:rsid w:val="007620D2"/>
    <w:rsid w:val="0076242F"/>
    <w:rsid w:val="00762ED3"/>
    <w:rsid w:val="0076330F"/>
    <w:rsid w:val="00763D10"/>
    <w:rsid w:val="0076475C"/>
    <w:rsid w:val="0076517F"/>
    <w:rsid w:val="007652ED"/>
    <w:rsid w:val="00765B54"/>
    <w:rsid w:val="00766676"/>
    <w:rsid w:val="00767D84"/>
    <w:rsid w:val="007716A3"/>
    <w:rsid w:val="00771B42"/>
    <w:rsid w:val="00774987"/>
    <w:rsid w:val="00780AAF"/>
    <w:rsid w:val="00781695"/>
    <w:rsid w:val="0078249F"/>
    <w:rsid w:val="0078297E"/>
    <w:rsid w:val="00783175"/>
    <w:rsid w:val="0078344E"/>
    <w:rsid w:val="00784A4F"/>
    <w:rsid w:val="00786E76"/>
    <w:rsid w:val="007877F3"/>
    <w:rsid w:val="007A0682"/>
    <w:rsid w:val="007A195E"/>
    <w:rsid w:val="007A3905"/>
    <w:rsid w:val="007A42BA"/>
    <w:rsid w:val="007A5AFB"/>
    <w:rsid w:val="007A746E"/>
    <w:rsid w:val="007B0F3E"/>
    <w:rsid w:val="007B1D07"/>
    <w:rsid w:val="007B2152"/>
    <w:rsid w:val="007B50C5"/>
    <w:rsid w:val="007B5AA8"/>
    <w:rsid w:val="007B7330"/>
    <w:rsid w:val="007C0243"/>
    <w:rsid w:val="007C3B66"/>
    <w:rsid w:val="007C4691"/>
    <w:rsid w:val="007C4B27"/>
    <w:rsid w:val="007C62B1"/>
    <w:rsid w:val="007D1496"/>
    <w:rsid w:val="007D5517"/>
    <w:rsid w:val="007D5F96"/>
    <w:rsid w:val="007E3168"/>
    <w:rsid w:val="007E48BB"/>
    <w:rsid w:val="007E4CFE"/>
    <w:rsid w:val="007E605B"/>
    <w:rsid w:val="007F09AE"/>
    <w:rsid w:val="007F478C"/>
    <w:rsid w:val="007F4D4B"/>
    <w:rsid w:val="007F5D83"/>
    <w:rsid w:val="00800576"/>
    <w:rsid w:val="00801B78"/>
    <w:rsid w:val="00801C51"/>
    <w:rsid w:val="0080629F"/>
    <w:rsid w:val="00811B59"/>
    <w:rsid w:val="0081377C"/>
    <w:rsid w:val="00814FDD"/>
    <w:rsid w:val="008155E3"/>
    <w:rsid w:val="00817AA3"/>
    <w:rsid w:val="0082370C"/>
    <w:rsid w:val="00825EB0"/>
    <w:rsid w:val="008278DD"/>
    <w:rsid w:val="00831695"/>
    <w:rsid w:val="00832A26"/>
    <w:rsid w:val="00835863"/>
    <w:rsid w:val="00837D50"/>
    <w:rsid w:val="008407DE"/>
    <w:rsid w:val="00840E42"/>
    <w:rsid w:val="0084187C"/>
    <w:rsid w:val="00843E99"/>
    <w:rsid w:val="00844AB5"/>
    <w:rsid w:val="00845020"/>
    <w:rsid w:val="008455F3"/>
    <w:rsid w:val="00845FC6"/>
    <w:rsid w:val="008532CF"/>
    <w:rsid w:val="00854934"/>
    <w:rsid w:val="008554C4"/>
    <w:rsid w:val="008567FB"/>
    <w:rsid w:val="0086002B"/>
    <w:rsid w:val="00863D54"/>
    <w:rsid w:val="008646BF"/>
    <w:rsid w:val="00865BC0"/>
    <w:rsid w:val="0086666C"/>
    <w:rsid w:val="00866690"/>
    <w:rsid w:val="00871629"/>
    <w:rsid w:val="00873F65"/>
    <w:rsid w:val="00874135"/>
    <w:rsid w:val="00874489"/>
    <w:rsid w:val="0087645A"/>
    <w:rsid w:val="00877B8D"/>
    <w:rsid w:val="008802F9"/>
    <w:rsid w:val="00882091"/>
    <w:rsid w:val="00882A6C"/>
    <w:rsid w:val="0088405A"/>
    <w:rsid w:val="008842C0"/>
    <w:rsid w:val="00885833"/>
    <w:rsid w:val="008858FE"/>
    <w:rsid w:val="00885BC2"/>
    <w:rsid w:val="00885F82"/>
    <w:rsid w:val="00891D31"/>
    <w:rsid w:val="00894730"/>
    <w:rsid w:val="00896519"/>
    <w:rsid w:val="00896EB6"/>
    <w:rsid w:val="00897B5E"/>
    <w:rsid w:val="008A182B"/>
    <w:rsid w:val="008A2ACB"/>
    <w:rsid w:val="008A70B0"/>
    <w:rsid w:val="008B049B"/>
    <w:rsid w:val="008B04AE"/>
    <w:rsid w:val="008B08F1"/>
    <w:rsid w:val="008B4248"/>
    <w:rsid w:val="008B4753"/>
    <w:rsid w:val="008B5112"/>
    <w:rsid w:val="008B5701"/>
    <w:rsid w:val="008B619F"/>
    <w:rsid w:val="008B6755"/>
    <w:rsid w:val="008B7474"/>
    <w:rsid w:val="008C361F"/>
    <w:rsid w:val="008C7836"/>
    <w:rsid w:val="008C7C57"/>
    <w:rsid w:val="008D291B"/>
    <w:rsid w:val="008D3A2C"/>
    <w:rsid w:val="008D3AB6"/>
    <w:rsid w:val="008D3AF9"/>
    <w:rsid w:val="008D42BB"/>
    <w:rsid w:val="008D69D7"/>
    <w:rsid w:val="008D70E0"/>
    <w:rsid w:val="008E24EC"/>
    <w:rsid w:val="008E2F79"/>
    <w:rsid w:val="008E3089"/>
    <w:rsid w:val="008E4A02"/>
    <w:rsid w:val="008E6463"/>
    <w:rsid w:val="008F1B90"/>
    <w:rsid w:val="008F275E"/>
    <w:rsid w:val="008F2DCE"/>
    <w:rsid w:val="008F7497"/>
    <w:rsid w:val="009048E3"/>
    <w:rsid w:val="00904EAD"/>
    <w:rsid w:val="009059D2"/>
    <w:rsid w:val="00905C76"/>
    <w:rsid w:val="009075BE"/>
    <w:rsid w:val="009077D9"/>
    <w:rsid w:val="0090792D"/>
    <w:rsid w:val="00907973"/>
    <w:rsid w:val="009155D1"/>
    <w:rsid w:val="00915DCB"/>
    <w:rsid w:val="0091775C"/>
    <w:rsid w:val="00920CB5"/>
    <w:rsid w:val="00923181"/>
    <w:rsid w:val="00923940"/>
    <w:rsid w:val="00926149"/>
    <w:rsid w:val="00936DDE"/>
    <w:rsid w:val="009403BF"/>
    <w:rsid w:val="00946BCC"/>
    <w:rsid w:val="009504D2"/>
    <w:rsid w:val="00951461"/>
    <w:rsid w:val="00953F6B"/>
    <w:rsid w:val="00956022"/>
    <w:rsid w:val="00960D18"/>
    <w:rsid w:val="00962663"/>
    <w:rsid w:val="00970216"/>
    <w:rsid w:val="00970A64"/>
    <w:rsid w:val="009720D6"/>
    <w:rsid w:val="009727E5"/>
    <w:rsid w:val="00972FD0"/>
    <w:rsid w:val="00973688"/>
    <w:rsid w:val="00973F38"/>
    <w:rsid w:val="00976A78"/>
    <w:rsid w:val="0098229E"/>
    <w:rsid w:val="00982A5F"/>
    <w:rsid w:val="009832CE"/>
    <w:rsid w:val="0098362E"/>
    <w:rsid w:val="00983B48"/>
    <w:rsid w:val="00985CE4"/>
    <w:rsid w:val="009865FE"/>
    <w:rsid w:val="00987498"/>
    <w:rsid w:val="00994027"/>
    <w:rsid w:val="00996FA1"/>
    <w:rsid w:val="009A0A71"/>
    <w:rsid w:val="009A20BD"/>
    <w:rsid w:val="009A28E9"/>
    <w:rsid w:val="009A2A49"/>
    <w:rsid w:val="009A410E"/>
    <w:rsid w:val="009A4E55"/>
    <w:rsid w:val="009A4EBD"/>
    <w:rsid w:val="009A55B4"/>
    <w:rsid w:val="009A5A64"/>
    <w:rsid w:val="009A68B1"/>
    <w:rsid w:val="009A73D9"/>
    <w:rsid w:val="009B0648"/>
    <w:rsid w:val="009B158B"/>
    <w:rsid w:val="009C13B4"/>
    <w:rsid w:val="009C196B"/>
    <w:rsid w:val="009C2FC6"/>
    <w:rsid w:val="009C4BF8"/>
    <w:rsid w:val="009D1D1D"/>
    <w:rsid w:val="009D53E0"/>
    <w:rsid w:val="009D7356"/>
    <w:rsid w:val="009D7778"/>
    <w:rsid w:val="009E0229"/>
    <w:rsid w:val="009E17DB"/>
    <w:rsid w:val="009E26CA"/>
    <w:rsid w:val="009E3165"/>
    <w:rsid w:val="009E5703"/>
    <w:rsid w:val="009E6E7B"/>
    <w:rsid w:val="009E792B"/>
    <w:rsid w:val="009E7C11"/>
    <w:rsid w:val="009F1162"/>
    <w:rsid w:val="009F18D6"/>
    <w:rsid w:val="00A0040D"/>
    <w:rsid w:val="00A00887"/>
    <w:rsid w:val="00A01C22"/>
    <w:rsid w:val="00A06020"/>
    <w:rsid w:val="00A076A7"/>
    <w:rsid w:val="00A07DCC"/>
    <w:rsid w:val="00A10536"/>
    <w:rsid w:val="00A13D1E"/>
    <w:rsid w:val="00A15FB2"/>
    <w:rsid w:val="00A16E84"/>
    <w:rsid w:val="00A16EED"/>
    <w:rsid w:val="00A171D9"/>
    <w:rsid w:val="00A22175"/>
    <w:rsid w:val="00A22EA4"/>
    <w:rsid w:val="00A23B77"/>
    <w:rsid w:val="00A26B3F"/>
    <w:rsid w:val="00A26B64"/>
    <w:rsid w:val="00A30F5C"/>
    <w:rsid w:val="00A313E7"/>
    <w:rsid w:val="00A33D8A"/>
    <w:rsid w:val="00A34799"/>
    <w:rsid w:val="00A34B30"/>
    <w:rsid w:val="00A35B86"/>
    <w:rsid w:val="00A3690D"/>
    <w:rsid w:val="00A36EEC"/>
    <w:rsid w:val="00A37642"/>
    <w:rsid w:val="00A406E7"/>
    <w:rsid w:val="00A46BBC"/>
    <w:rsid w:val="00A50AB5"/>
    <w:rsid w:val="00A5132E"/>
    <w:rsid w:val="00A55799"/>
    <w:rsid w:val="00A55D53"/>
    <w:rsid w:val="00A579AC"/>
    <w:rsid w:val="00A60DB7"/>
    <w:rsid w:val="00A61B54"/>
    <w:rsid w:val="00A62D73"/>
    <w:rsid w:val="00A6462B"/>
    <w:rsid w:val="00A65384"/>
    <w:rsid w:val="00A670E7"/>
    <w:rsid w:val="00A72C1A"/>
    <w:rsid w:val="00A73870"/>
    <w:rsid w:val="00A750FA"/>
    <w:rsid w:val="00A80721"/>
    <w:rsid w:val="00A80797"/>
    <w:rsid w:val="00A81DAE"/>
    <w:rsid w:val="00A832CA"/>
    <w:rsid w:val="00A86ACC"/>
    <w:rsid w:val="00A86C70"/>
    <w:rsid w:val="00A87EB6"/>
    <w:rsid w:val="00A90137"/>
    <w:rsid w:val="00A906DB"/>
    <w:rsid w:val="00A907C7"/>
    <w:rsid w:val="00A90A2D"/>
    <w:rsid w:val="00A913F9"/>
    <w:rsid w:val="00A91A76"/>
    <w:rsid w:val="00A92616"/>
    <w:rsid w:val="00A9308F"/>
    <w:rsid w:val="00A93D16"/>
    <w:rsid w:val="00A94CB4"/>
    <w:rsid w:val="00A95F7E"/>
    <w:rsid w:val="00A978D2"/>
    <w:rsid w:val="00AA0059"/>
    <w:rsid w:val="00AA0968"/>
    <w:rsid w:val="00AA5D17"/>
    <w:rsid w:val="00AA7685"/>
    <w:rsid w:val="00AB001D"/>
    <w:rsid w:val="00AB060E"/>
    <w:rsid w:val="00AB1710"/>
    <w:rsid w:val="00AB32D7"/>
    <w:rsid w:val="00AC0B1E"/>
    <w:rsid w:val="00AC1980"/>
    <w:rsid w:val="00AC2E13"/>
    <w:rsid w:val="00AC365C"/>
    <w:rsid w:val="00AC5594"/>
    <w:rsid w:val="00AD2B95"/>
    <w:rsid w:val="00AE0667"/>
    <w:rsid w:val="00AE0C53"/>
    <w:rsid w:val="00AE48A9"/>
    <w:rsid w:val="00AE59EB"/>
    <w:rsid w:val="00AE66F2"/>
    <w:rsid w:val="00AE75FC"/>
    <w:rsid w:val="00AF2743"/>
    <w:rsid w:val="00AF4D44"/>
    <w:rsid w:val="00AF4EC6"/>
    <w:rsid w:val="00AF73CC"/>
    <w:rsid w:val="00B00742"/>
    <w:rsid w:val="00B00CC4"/>
    <w:rsid w:val="00B05DD2"/>
    <w:rsid w:val="00B062FB"/>
    <w:rsid w:val="00B07927"/>
    <w:rsid w:val="00B13613"/>
    <w:rsid w:val="00B1453B"/>
    <w:rsid w:val="00B153D0"/>
    <w:rsid w:val="00B16997"/>
    <w:rsid w:val="00B20CE2"/>
    <w:rsid w:val="00B22D32"/>
    <w:rsid w:val="00B2382B"/>
    <w:rsid w:val="00B23DAB"/>
    <w:rsid w:val="00B25094"/>
    <w:rsid w:val="00B2585C"/>
    <w:rsid w:val="00B26E87"/>
    <w:rsid w:val="00B33CA8"/>
    <w:rsid w:val="00B352C3"/>
    <w:rsid w:val="00B35B70"/>
    <w:rsid w:val="00B37E34"/>
    <w:rsid w:val="00B40B82"/>
    <w:rsid w:val="00B42EB2"/>
    <w:rsid w:val="00B500E0"/>
    <w:rsid w:val="00B52768"/>
    <w:rsid w:val="00B54695"/>
    <w:rsid w:val="00B5722D"/>
    <w:rsid w:val="00B6177F"/>
    <w:rsid w:val="00B657B0"/>
    <w:rsid w:val="00B65D64"/>
    <w:rsid w:val="00B66229"/>
    <w:rsid w:val="00B7030B"/>
    <w:rsid w:val="00B70A3C"/>
    <w:rsid w:val="00B72E93"/>
    <w:rsid w:val="00B734CB"/>
    <w:rsid w:val="00B743B3"/>
    <w:rsid w:val="00B85FB4"/>
    <w:rsid w:val="00B87EE3"/>
    <w:rsid w:val="00B9319F"/>
    <w:rsid w:val="00B9335A"/>
    <w:rsid w:val="00B97B23"/>
    <w:rsid w:val="00BB246E"/>
    <w:rsid w:val="00BB3B9F"/>
    <w:rsid w:val="00BB4B57"/>
    <w:rsid w:val="00BB61BA"/>
    <w:rsid w:val="00BB6EBC"/>
    <w:rsid w:val="00BC2B5B"/>
    <w:rsid w:val="00BC31BF"/>
    <w:rsid w:val="00BC3378"/>
    <w:rsid w:val="00BC49F2"/>
    <w:rsid w:val="00BC4C7F"/>
    <w:rsid w:val="00BC636C"/>
    <w:rsid w:val="00BD00A1"/>
    <w:rsid w:val="00BD02EA"/>
    <w:rsid w:val="00BD4DF6"/>
    <w:rsid w:val="00BD776C"/>
    <w:rsid w:val="00BE02DB"/>
    <w:rsid w:val="00BE0C77"/>
    <w:rsid w:val="00BE1607"/>
    <w:rsid w:val="00BE2401"/>
    <w:rsid w:val="00BE2DE7"/>
    <w:rsid w:val="00BE4A3E"/>
    <w:rsid w:val="00BE590F"/>
    <w:rsid w:val="00BE6325"/>
    <w:rsid w:val="00BE63C0"/>
    <w:rsid w:val="00BF009C"/>
    <w:rsid w:val="00BF4D0D"/>
    <w:rsid w:val="00BF5551"/>
    <w:rsid w:val="00BF6569"/>
    <w:rsid w:val="00C002CE"/>
    <w:rsid w:val="00C003C9"/>
    <w:rsid w:val="00C02969"/>
    <w:rsid w:val="00C0383E"/>
    <w:rsid w:val="00C03D65"/>
    <w:rsid w:val="00C0529E"/>
    <w:rsid w:val="00C058FC"/>
    <w:rsid w:val="00C07A2F"/>
    <w:rsid w:val="00C136E2"/>
    <w:rsid w:val="00C1375F"/>
    <w:rsid w:val="00C144E7"/>
    <w:rsid w:val="00C14D13"/>
    <w:rsid w:val="00C157DD"/>
    <w:rsid w:val="00C16FFC"/>
    <w:rsid w:val="00C23FEC"/>
    <w:rsid w:val="00C2473E"/>
    <w:rsid w:val="00C2664F"/>
    <w:rsid w:val="00C27FD6"/>
    <w:rsid w:val="00C30A41"/>
    <w:rsid w:val="00C34F1F"/>
    <w:rsid w:val="00C35842"/>
    <w:rsid w:val="00C40CD4"/>
    <w:rsid w:val="00C43FA1"/>
    <w:rsid w:val="00C452DB"/>
    <w:rsid w:val="00C4684D"/>
    <w:rsid w:val="00C53570"/>
    <w:rsid w:val="00C56531"/>
    <w:rsid w:val="00C63CD2"/>
    <w:rsid w:val="00C64139"/>
    <w:rsid w:val="00C645CF"/>
    <w:rsid w:val="00C67BC5"/>
    <w:rsid w:val="00C700C9"/>
    <w:rsid w:val="00C70BEF"/>
    <w:rsid w:val="00C7129F"/>
    <w:rsid w:val="00C71994"/>
    <w:rsid w:val="00C72789"/>
    <w:rsid w:val="00C747BD"/>
    <w:rsid w:val="00C752FA"/>
    <w:rsid w:val="00C75C64"/>
    <w:rsid w:val="00C76BEB"/>
    <w:rsid w:val="00C8148F"/>
    <w:rsid w:val="00C835C0"/>
    <w:rsid w:val="00C83629"/>
    <w:rsid w:val="00C83699"/>
    <w:rsid w:val="00C85CCA"/>
    <w:rsid w:val="00C87A77"/>
    <w:rsid w:val="00C922FD"/>
    <w:rsid w:val="00C92364"/>
    <w:rsid w:val="00C9248E"/>
    <w:rsid w:val="00C93BB6"/>
    <w:rsid w:val="00C96E27"/>
    <w:rsid w:val="00C96EF0"/>
    <w:rsid w:val="00C9765D"/>
    <w:rsid w:val="00CA2457"/>
    <w:rsid w:val="00CA3EB0"/>
    <w:rsid w:val="00CA4CB3"/>
    <w:rsid w:val="00CA4FBB"/>
    <w:rsid w:val="00CA50D4"/>
    <w:rsid w:val="00CB05DE"/>
    <w:rsid w:val="00CB3DF6"/>
    <w:rsid w:val="00CB5550"/>
    <w:rsid w:val="00CB745A"/>
    <w:rsid w:val="00CC3142"/>
    <w:rsid w:val="00CC516C"/>
    <w:rsid w:val="00CC7D98"/>
    <w:rsid w:val="00CD020B"/>
    <w:rsid w:val="00CD15FB"/>
    <w:rsid w:val="00CD3618"/>
    <w:rsid w:val="00CD49CA"/>
    <w:rsid w:val="00CD51BA"/>
    <w:rsid w:val="00CD5882"/>
    <w:rsid w:val="00CE1118"/>
    <w:rsid w:val="00CE144C"/>
    <w:rsid w:val="00CE3297"/>
    <w:rsid w:val="00CE5B8A"/>
    <w:rsid w:val="00CE60CE"/>
    <w:rsid w:val="00CF09E3"/>
    <w:rsid w:val="00CF1829"/>
    <w:rsid w:val="00CF5B6F"/>
    <w:rsid w:val="00D025B7"/>
    <w:rsid w:val="00D02730"/>
    <w:rsid w:val="00D03BFF"/>
    <w:rsid w:val="00D0502B"/>
    <w:rsid w:val="00D05AC8"/>
    <w:rsid w:val="00D0622D"/>
    <w:rsid w:val="00D11CE6"/>
    <w:rsid w:val="00D11D03"/>
    <w:rsid w:val="00D158D6"/>
    <w:rsid w:val="00D15DE5"/>
    <w:rsid w:val="00D170B5"/>
    <w:rsid w:val="00D25F9B"/>
    <w:rsid w:val="00D26159"/>
    <w:rsid w:val="00D27603"/>
    <w:rsid w:val="00D31D50"/>
    <w:rsid w:val="00D32696"/>
    <w:rsid w:val="00D3437D"/>
    <w:rsid w:val="00D362CF"/>
    <w:rsid w:val="00D372C6"/>
    <w:rsid w:val="00D40666"/>
    <w:rsid w:val="00D40E88"/>
    <w:rsid w:val="00D4264B"/>
    <w:rsid w:val="00D47908"/>
    <w:rsid w:val="00D5626C"/>
    <w:rsid w:val="00D56448"/>
    <w:rsid w:val="00D6324B"/>
    <w:rsid w:val="00D63C6D"/>
    <w:rsid w:val="00D64FBD"/>
    <w:rsid w:val="00D6553C"/>
    <w:rsid w:val="00D65F62"/>
    <w:rsid w:val="00D67058"/>
    <w:rsid w:val="00D67188"/>
    <w:rsid w:val="00D6733D"/>
    <w:rsid w:val="00D673BA"/>
    <w:rsid w:val="00D75F8C"/>
    <w:rsid w:val="00D87DD4"/>
    <w:rsid w:val="00D91951"/>
    <w:rsid w:val="00D9436B"/>
    <w:rsid w:val="00D9463D"/>
    <w:rsid w:val="00D95E74"/>
    <w:rsid w:val="00D96427"/>
    <w:rsid w:val="00D9742C"/>
    <w:rsid w:val="00DA04AE"/>
    <w:rsid w:val="00DA6630"/>
    <w:rsid w:val="00DB0035"/>
    <w:rsid w:val="00DB04A1"/>
    <w:rsid w:val="00DB0D8D"/>
    <w:rsid w:val="00DB2E81"/>
    <w:rsid w:val="00DB4396"/>
    <w:rsid w:val="00DB58AE"/>
    <w:rsid w:val="00DC043E"/>
    <w:rsid w:val="00DC4D4F"/>
    <w:rsid w:val="00DC4FBA"/>
    <w:rsid w:val="00DC7BF5"/>
    <w:rsid w:val="00DD2DF3"/>
    <w:rsid w:val="00DD4AE6"/>
    <w:rsid w:val="00DD6C70"/>
    <w:rsid w:val="00DD6F24"/>
    <w:rsid w:val="00DE000B"/>
    <w:rsid w:val="00DE2875"/>
    <w:rsid w:val="00DE323F"/>
    <w:rsid w:val="00DE54F6"/>
    <w:rsid w:val="00DE6C88"/>
    <w:rsid w:val="00DF18E5"/>
    <w:rsid w:val="00DF3AB4"/>
    <w:rsid w:val="00DF3CCC"/>
    <w:rsid w:val="00DF44C4"/>
    <w:rsid w:val="00DF577B"/>
    <w:rsid w:val="00DF61F9"/>
    <w:rsid w:val="00E01C58"/>
    <w:rsid w:val="00E04A61"/>
    <w:rsid w:val="00E05929"/>
    <w:rsid w:val="00E06D1D"/>
    <w:rsid w:val="00E102B7"/>
    <w:rsid w:val="00E1590E"/>
    <w:rsid w:val="00E15EE1"/>
    <w:rsid w:val="00E162B8"/>
    <w:rsid w:val="00E166F2"/>
    <w:rsid w:val="00E173F3"/>
    <w:rsid w:val="00E21CBA"/>
    <w:rsid w:val="00E243D0"/>
    <w:rsid w:val="00E25C52"/>
    <w:rsid w:val="00E26EE4"/>
    <w:rsid w:val="00E30F72"/>
    <w:rsid w:val="00E30FA6"/>
    <w:rsid w:val="00E33007"/>
    <w:rsid w:val="00E35958"/>
    <w:rsid w:val="00E37AC0"/>
    <w:rsid w:val="00E4006E"/>
    <w:rsid w:val="00E4215F"/>
    <w:rsid w:val="00E4473F"/>
    <w:rsid w:val="00E47B3B"/>
    <w:rsid w:val="00E47FC3"/>
    <w:rsid w:val="00E5082C"/>
    <w:rsid w:val="00E5117A"/>
    <w:rsid w:val="00E53B14"/>
    <w:rsid w:val="00E56127"/>
    <w:rsid w:val="00E57178"/>
    <w:rsid w:val="00E60851"/>
    <w:rsid w:val="00E60C64"/>
    <w:rsid w:val="00E610C9"/>
    <w:rsid w:val="00E64848"/>
    <w:rsid w:val="00E64F2B"/>
    <w:rsid w:val="00E655C4"/>
    <w:rsid w:val="00E7608F"/>
    <w:rsid w:val="00E80164"/>
    <w:rsid w:val="00E8045D"/>
    <w:rsid w:val="00E80B78"/>
    <w:rsid w:val="00E8129F"/>
    <w:rsid w:val="00E84039"/>
    <w:rsid w:val="00E84EA0"/>
    <w:rsid w:val="00E958FF"/>
    <w:rsid w:val="00E962EB"/>
    <w:rsid w:val="00EA0216"/>
    <w:rsid w:val="00EA42E1"/>
    <w:rsid w:val="00EA4D6E"/>
    <w:rsid w:val="00EA538A"/>
    <w:rsid w:val="00EA5C72"/>
    <w:rsid w:val="00EA5D74"/>
    <w:rsid w:val="00EA726C"/>
    <w:rsid w:val="00EA7F4B"/>
    <w:rsid w:val="00EB0F1C"/>
    <w:rsid w:val="00EB2F49"/>
    <w:rsid w:val="00EB4B2C"/>
    <w:rsid w:val="00EB4BB9"/>
    <w:rsid w:val="00EB67EB"/>
    <w:rsid w:val="00EB6B2E"/>
    <w:rsid w:val="00EC42BC"/>
    <w:rsid w:val="00EC67F1"/>
    <w:rsid w:val="00EC6966"/>
    <w:rsid w:val="00EC70B5"/>
    <w:rsid w:val="00ED1B99"/>
    <w:rsid w:val="00ED254C"/>
    <w:rsid w:val="00ED2EE2"/>
    <w:rsid w:val="00ED3203"/>
    <w:rsid w:val="00ED4FC3"/>
    <w:rsid w:val="00ED5AEB"/>
    <w:rsid w:val="00ED5C89"/>
    <w:rsid w:val="00ED623C"/>
    <w:rsid w:val="00ED6712"/>
    <w:rsid w:val="00ED6A79"/>
    <w:rsid w:val="00EE124C"/>
    <w:rsid w:val="00EE1B11"/>
    <w:rsid w:val="00EE46B2"/>
    <w:rsid w:val="00EE59D9"/>
    <w:rsid w:val="00EE59DB"/>
    <w:rsid w:val="00EE6D52"/>
    <w:rsid w:val="00EF102B"/>
    <w:rsid w:val="00EF1FDC"/>
    <w:rsid w:val="00EF3BEF"/>
    <w:rsid w:val="00EF77DF"/>
    <w:rsid w:val="00F025DA"/>
    <w:rsid w:val="00F03C75"/>
    <w:rsid w:val="00F047E0"/>
    <w:rsid w:val="00F05B32"/>
    <w:rsid w:val="00F07DA1"/>
    <w:rsid w:val="00F1084F"/>
    <w:rsid w:val="00F13BC1"/>
    <w:rsid w:val="00F15BDF"/>
    <w:rsid w:val="00F21A9E"/>
    <w:rsid w:val="00F21EBC"/>
    <w:rsid w:val="00F22985"/>
    <w:rsid w:val="00F23614"/>
    <w:rsid w:val="00F245B1"/>
    <w:rsid w:val="00F24F4B"/>
    <w:rsid w:val="00F33875"/>
    <w:rsid w:val="00F33A2B"/>
    <w:rsid w:val="00F33AAB"/>
    <w:rsid w:val="00F3650D"/>
    <w:rsid w:val="00F37103"/>
    <w:rsid w:val="00F41718"/>
    <w:rsid w:val="00F418DF"/>
    <w:rsid w:val="00F433C0"/>
    <w:rsid w:val="00F4445A"/>
    <w:rsid w:val="00F4530A"/>
    <w:rsid w:val="00F518CA"/>
    <w:rsid w:val="00F524A8"/>
    <w:rsid w:val="00F52632"/>
    <w:rsid w:val="00F53ECA"/>
    <w:rsid w:val="00F5416F"/>
    <w:rsid w:val="00F542DC"/>
    <w:rsid w:val="00F54671"/>
    <w:rsid w:val="00F57B43"/>
    <w:rsid w:val="00F60E83"/>
    <w:rsid w:val="00F6269B"/>
    <w:rsid w:val="00F62D27"/>
    <w:rsid w:val="00F658E1"/>
    <w:rsid w:val="00F67C12"/>
    <w:rsid w:val="00F70C0F"/>
    <w:rsid w:val="00F7154E"/>
    <w:rsid w:val="00F71F7A"/>
    <w:rsid w:val="00F7258A"/>
    <w:rsid w:val="00F7467F"/>
    <w:rsid w:val="00F7474A"/>
    <w:rsid w:val="00F75BA3"/>
    <w:rsid w:val="00F778C6"/>
    <w:rsid w:val="00F7790A"/>
    <w:rsid w:val="00F80009"/>
    <w:rsid w:val="00F8366C"/>
    <w:rsid w:val="00F84A57"/>
    <w:rsid w:val="00F84FEA"/>
    <w:rsid w:val="00F8613B"/>
    <w:rsid w:val="00F9040B"/>
    <w:rsid w:val="00F90CEC"/>
    <w:rsid w:val="00F91C22"/>
    <w:rsid w:val="00F93FA7"/>
    <w:rsid w:val="00F94EA9"/>
    <w:rsid w:val="00F94FAB"/>
    <w:rsid w:val="00FA567C"/>
    <w:rsid w:val="00FA7D72"/>
    <w:rsid w:val="00FA7ED4"/>
    <w:rsid w:val="00FB095D"/>
    <w:rsid w:val="00FB0F13"/>
    <w:rsid w:val="00FB64D8"/>
    <w:rsid w:val="00FB678C"/>
    <w:rsid w:val="00FB7C7A"/>
    <w:rsid w:val="00FC0C18"/>
    <w:rsid w:val="00FC0CE9"/>
    <w:rsid w:val="00FC3400"/>
    <w:rsid w:val="00FC4B80"/>
    <w:rsid w:val="00FC5758"/>
    <w:rsid w:val="00FC605A"/>
    <w:rsid w:val="00FC73C8"/>
    <w:rsid w:val="00FD0F3E"/>
    <w:rsid w:val="00FD1569"/>
    <w:rsid w:val="00FD1635"/>
    <w:rsid w:val="00FD4116"/>
    <w:rsid w:val="00FD7B31"/>
    <w:rsid w:val="00FE3668"/>
    <w:rsid w:val="00FE5D5A"/>
    <w:rsid w:val="00FE77D8"/>
    <w:rsid w:val="00FF15FD"/>
    <w:rsid w:val="00FF4FAB"/>
    <w:rsid w:val="00FF5CAB"/>
    <w:rsid w:val="00FF6A5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1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basedOn w:val="a"/>
    <w:uiPriority w:val="99"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uiPriority w:val="99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b">
    <w:name w:val="Table Grid"/>
    <w:basedOn w:val="a1"/>
    <w:uiPriority w:val="59"/>
    <w:rsid w:val="00904E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rsid w:val="00904EA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904EAD"/>
    <w:pPr>
      <w:ind w:left="708"/>
    </w:pPr>
  </w:style>
  <w:style w:type="paragraph" w:styleId="aff">
    <w:name w:val="No Spacing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3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0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1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4">
    <w:name w:val="Сетка таблицы1"/>
    <w:basedOn w:val="a1"/>
    <w:next w:val="afb"/>
    <w:uiPriority w:val="59"/>
    <w:rsid w:val="00F518CA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b"/>
    <w:uiPriority w:val="59"/>
    <w:rsid w:val="00F518CA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2">
    <w:name w:val="Emphasis"/>
    <w:uiPriority w:val="99"/>
    <w:qFormat/>
    <w:rsid w:val="00A91A76"/>
    <w:rPr>
      <w:i/>
      <w:iCs/>
    </w:rPr>
  </w:style>
  <w:style w:type="character" w:styleId="aff3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1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basedOn w:val="a"/>
    <w:uiPriority w:val="99"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uiPriority w:val="99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b">
    <w:name w:val="Table Grid"/>
    <w:basedOn w:val="a1"/>
    <w:uiPriority w:val="59"/>
    <w:rsid w:val="00904E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rsid w:val="00904EA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904EAD"/>
    <w:pPr>
      <w:ind w:left="708"/>
    </w:pPr>
  </w:style>
  <w:style w:type="paragraph" w:styleId="aff">
    <w:name w:val="No Spacing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3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0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1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4">
    <w:name w:val="Сетка таблицы1"/>
    <w:basedOn w:val="a1"/>
    <w:next w:val="afb"/>
    <w:uiPriority w:val="59"/>
    <w:rsid w:val="00F518CA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b"/>
    <w:uiPriority w:val="59"/>
    <w:rsid w:val="00F518CA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2">
    <w:name w:val="Emphasis"/>
    <w:uiPriority w:val="99"/>
    <w:qFormat/>
    <w:rsid w:val="00A91A76"/>
    <w:rPr>
      <w:i/>
      <w:iCs/>
    </w:rPr>
  </w:style>
  <w:style w:type="character" w:styleId="aff3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7870-E4AE-4A38-BC6C-AFB61838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8579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Г. Кононова</cp:lastModifiedBy>
  <cp:revision>2</cp:revision>
  <cp:lastPrinted>2018-10-18T08:20:00Z</cp:lastPrinted>
  <dcterms:created xsi:type="dcterms:W3CDTF">2019-02-26T06:40:00Z</dcterms:created>
  <dcterms:modified xsi:type="dcterms:W3CDTF">2019-02-26T06:40:00Z</dcterms:modified>
</cp:coreProperties>
</file>