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DE" w:rsidRPr="000C5E0F" w:rsidRDefault="00B167DE" w:rsidP="00B167DE">
      <w:pPr>
        <w:ind w:firstLine="709"/>
        <w:jc w:val="right"/>
        <w:rPr>
          <w:sz w:val="28"/>
          <w:szCs w:val="28"/>
        </w:rPr>
      </w:pPr>
      <w:r w:rsidRPr="000C5E0F">
        <w:rPr>
          <w:sz w:val="28"/>
          <w:szCs w:val="28"/>
        </w:rPr>
        <w:t xml:space="preserve">Приложение </w:t>
      </w:r>
    </w:p>
    <w:p w:rsidR="00B167DE" w:rsidRPr="000C5E0F" w:rsidRDefault="00B167DE" w:rsidP="00B167DE">
      <w:pPr>
        <w:ind w:firstLine="709"/>
        <w:jc w:val="right"/>
        <w:rPr>
          <w:sz w:val="28"/>
          <w:szCs w:val="28"/>
        </w:rPr>
      </w:pPr>
    </w:p>
    <w:p w:rsidR="00F669F5" w:rsidRDefault="00826CF4" w:rsidP="001B29BB">
      <w:pPr>
        <w:ind w:firstLine="709"/>
        <w:jc w:val="center"/>
        <w:rPr>
          <w:sz w:val="28"/>
          <w:szCs w:val="28"/>
        </w:rPr>
      </w:pPr>
      <w:r w:rsidRPr="000C5E0F">
        <w:rPr>
          <w:sz w:val="28"/>
          <w:szCs w:val="28"/>
        </w:rPr>
        <w:t>Сводная информация</w:t>
      </w:r>
      <w:r w:rsidR="00F669F5">
        <w:rPr>
          <w:sz w:val="28"/>
          <w:szCs w:val="28"/>
        </w:rPr>
        <w:t xml:space="preserve"> </w:t>
      </w:r>
      <w:r w:rsidRPr="000C5E0F">
        <w:rPr>
          <w:sz w:val="28"/>
          <w:szCs w:val="28"/>
        </w:rPr>
        <w:t xml:space="preserve">по мониторингу </w:t>
      </w:r>
      <w:proofErr w:type="gramStart"/>
      <w:r w:rsidRPr="000C5E0F">
        <w:rPr>
          <w:sz w:val="28"/>
          <w:szCs w:val="28"/>
        </w:rPr>
        <w:t>кредиторской</w:t>
      </w:r>
      <w:proofErr w:type="gramEnd"/>
      <w:r w:rsidRPr="000C5E0F">
        <w:rPr>
          <w:sz w:val="28"/>
          <w:szCs w:val="28"/>
        </w:rPr>
        <w:t xml:space="preserve"> </w:t>
      </w:r>
      <w:r w:rsidR="00AE6DA6" w:rsidRPr="000C5E0F">
        <w:rPr>
          <w:sz w:val="28"/>
          <w:szCs w:val="28"/>
        </w:rPr>
        <w:t xml:space="preserve">и дебиторской </w:t>
      </w:r>
      <w:r w:rsidRPr="000C5E0F">
        <w:rPr>
          <w:sz w:val="28"/>
          <w:szCs w:val="28"/>
        </w:rPr>
        <w:t>задолж</w:t>
      </w:r>
      <w:r w:rsidR="00303DAF" w:rsidRPr="000C5E0F">
        <w:rPr>
          <w:sz w:val="28"/>
          <w:szCs w:val="28"/>
        </w:rPr>
        <w:t xml:space="preserve">енности муниципальных унитарных </w:t>
      </w:r>
      <w:r w:rsidRPr="000C5E0F">
        <w:rPr>
          <w:sz w:val="28"/>
          <w:szCs w:val="28"/>
        </w:rPr>
        <w:t>предприятий</w:t>
      </w:r>
      <w:r w:rsidR="00303DAF" w:rsidRPr="000C5E0F">
        <w:rPr>
          <w:sz w:val="28"/>
          <w:szCs w:val="28"/>
        </w:rPr>
        <w:t xml:space="preserve"> </w:t>
      </w:r>
      <w:r w:rsidRPr="000C5E0F">
        <w:rPr>
          <w:sz w:val="28"/>
          <w:szCs w:val="28"/>
        </w:rPr>
        <w:t>города Липецка</w:t>
      </w:r>
      <w:r w:rsidR="00303DAF" w:rsidRPr="000C5E0F">
        <w:rPr>
          <w:sz w:val="28"/>
          <w:szCs w:val="28"/>
        </w:rPr>
        <w:t xml:space="preserve"> </w:t>
      </w:r>
    </w:p>
    <w:p w:rsidR="00826CF4" w:rsidRPr="000C5E0F" w:rsidRDefault="00826CF4" w:rsidP="001B29BB">
      <w:pPr>
        <w:ind w:firstLine="709"/>
        <w:jc w:val="center"/>
        <w:rPr>
          <w:sz w:val="28"/>
          <w:szCs w:val="28"/>
        </w:rPr>
      </w:pPr>
      <w:r w:rsidRPr="000C5E0F">
        <w:rPr>
          <w:sz w:val="28"/>
          <w:szCs w:val="28"/>
        </w:rPr>
        <w:t>по состоянию на 01.</w:t>
      </w:r>
      <w:r w:rsidR="008208C7" w:rsidRPr="000C5E0F">
        <w:rPr>
          <w:sz w:val="28"/>
          <w:szCs w:val="28"/>
        </w:rPr>
        <w:t>0</w:t>
      </w:r>
      <w:r w:rsidR="000C5E0F" w:rsidRPr="000C5E0F">
        <w:rPr>
          <w:sz w:val="28"/>
          <w:szCs w:val="28"/>
        </w:rPr>
        <w:t>1</w:t>
      </w:r>
      <w:r w:rsidR="00771445" w:rsidRPr="000C5E0F">
        <w:rPr>
          <w:sz w:val="28"/>
          <w:szCs w:val="28"/>
        </w:rPr>
        <w:t>.201</w:t>
      </w:r>
      <w:r w:rsidR="000C5E0F" w:rsidRPr="000C5E0F">
        <w:rPr>
          <w:sz w:val="28"/>
          <w:szCs w:val="28"/>
        </w:rPr>
        <w:t>9</w:t>
      </w:r>
    </w:p>
    <w:p w:rsidR="00826CF4" w:rsidRPr="000C5E0F" w:rsidRDefault="00826CF4" w:rsidP="001B29BB">
      <w:pPr>
        <w:ind w:firstLine="709"/>
        <w:jc w:val="center"/>
        <w:rPr>
          <w:color w:val="FF0000"/>
          <w:spacing w:val="10"/>
          <w:sz w:val="28"/>
          <w:szCs w:val="28"/>
        </w:rPr>
      </w:pPr>
    </w:p>
    <w:p w:rsidR="008C7D4C" w:rsidRPr="000C5E0F" w:rsidRDefault="00826CF4" w:rsidP="001B29B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C5E0F">
        <w:rPr>
          <w:spacing w:val="-4"/>
          <w:sz w:val="28"/>
          <w:szCs w:val="28"/>
        </w:rPr>
        <w:t>Сводная аналитическая информация по результатам мониторинга (</w:t>
      </w:r>
      <w:r w:rsidR="008130AD" w:rsidRPr="000C5E0F">
        <w:rPr>
          <w:spacing w:val="-4"/>
          <w:sz w:val="28"/>
          <w:szCs w:val="28"/>
        </w:rPr>
        <w:t>т</w:t>
      </w:r>
      <w:r w:rsidRPr="000C5E0F">
        <w:rPr>
          <w:spacing w:val="-4"/>
          <w:sz w:val="28"/>
          <w:szCs w:val="28"/>
        </w:rPr>
        <w:t>аблиц</w:t>
      </w:r>
      <w:r w:rsidR="0086754D" w:rsidRPr="000C5E0F">
        <w:rPr>
          <w:spacing w:val="-4"/>
          <w:sz w:val="28"/>
          <w:szCs w:val="28"/>
        </w:rPr>
        <w:t xml:space="preserve">ы </w:t>
      </w:r>
      <w:r w:rsidR="00071FA8" w:rsidRPr="000C5E0F">
        <w:rPr>
          <w:spacing w:val="-4"/>
          <w:sz w:val="28"/>
          <w:szCs w:val="28"/>
        </w:rPr>
        <w:t>№</w:t>
      </w:r>
      <w:r w:rsidR="0086754D" w:rsidRPr="000C5E0F">
        <w:rPr>
          <w:spacing w:val="-4"/>
          <w:sz w:val="28"/>
          <w:szCs w:val="28"/>
        </w:rPr>
        <w:t xml:space="preserve">1, </w:t>
      </w:r>
      <w:r w:rsidR="00AE6DA6" w:rsidRPr="000C5E0F">
        <w:rPr>
          <w:spacing w:val="-4"/>
          <w:sz w:val="28"/>
          <w:szCs w:val="28"/>
        </w:rPr>
        <w:t>2</w:t>
      </w:r>
      <w:r w:rsidRPr="000C5E0F">
        <w:rPr>
          <w:spacing w:val="-4"/>
          <w:sz w:val="28"/>
          <w:szCs w:val="28"/>
        </w:rPr>
        <w:t>) подготовлена на основ</w:t>
      </w:r>
      <w:r w:rsidR="00EB12AF" w:rsidRPr="000C5E0F">
        <w:rPr>
          <w:spacing w:val="-4"/>
          <w:sz w:val="28"/>
          <w:szCs w:val="28"/>
        </w:rPr>
        <w:t>е</w:t>
      </w:r>
      <w:r w:rsidRPr="000C5E0F">
        <w:rPr>
          <w:spacing w:val="-4"/>
          <w:sz w:val="28"/>
          <w:szCs w:val="28"/>
        </w:rPr>
        <w:t xml:space="preserve"> данных, предоставленных структурными подразделениями администрации города Липецка, осуществляющими функции и полномочия учредителя (далее – Учредитель) в отношении действующих на территории муниципального образования город Липецк </w:t>
      </w:r>
      <w:r w:rsidR="00E57958" w:rsidRPr="000C5E0F">
        <w:rPr>
          <w:spacing w:val="-4"/>
          <w:sz w:val="28"/>
          <w:szCs w:val="28"/>
        </w:rPr>
        <w:t xml:space="preserve">муниципальных унитарных </w:t>
      </w:r>
      <w:r w:rsidRPr="000C5E0F">
        <w:rPr>
          <w:spacing w:val="-4"/>
          <w:sz w:val="28"/>
          <w:szCs w:val="28"/>
        </w:rPr>
        <w:t xml:space="preserve">предприятий </w:t>
      </w:r>
      <w:r w:rsidR="00E57958" w:rsidRPr="000C5E0F">
        <w:rPr>
          <w:spacing w:val="-4"/>
          <w:sz w:val="28"/>
          <w:szCs w:val="28"/>
        </w:rPr>
        <w:t xml:space="preserve">(далее – </w:t>
      </w:r>
      <w:r w:rsidR="002D5F88" w:rsidRPr="000C5E0F">
        <w:rPr>
          <w:spacing w:val="-4"/>
          <w:sz w:val="28"/>
          <w:szCs w:val="28"/>
        </w:rPr>
        <w:t>предприятие</w:t>
      </w:r>
      <w:r w:rsidR="00E57958" w:rsidRPr="000C5E0F">
        <w:rPr>
          <w:spacing w:val="-4"/>
          <w:sz w:val="28"/>
          <w:szCs w:val="28"/>
        </w:rPr>
        <w:t>)</w:t>
      </w:r>
      <w:r w:rsidRPr="000C5E0F">
        <w:rPr>
          <w:spacing w:val="-4"/>
          <w:sz w:val="28"/>
          <w:szCs w:val="28"/>
        </w:rPr>
        <w:t>.</w:t>
      </w:r>
    </w:p>
    <w:p w:rsidR="00171C48" w:rsidRPr="00171C48" w:rsidRDefault="00171C48" w:rsidP="00171C4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71C48">
        <w:rPr>
          <w:spacing w:val="-4"/>
          <w:sz w:val="28"/>
          <w:szCs w:val="28"/>
        </w:rPr>
        <w:t>Решением Арбитражного суда Липецкой облас</w:t>
      </w:r>
      <w:r>
        <w:rPr>
          <w:spacing w:val="-4"/>
          <w:sz w:val="28"/>
          <w:szCs w:val="28"/>
        </w:rPr>
        <w:t>ти от 09.01.2018 года по делу № </w:t>
      </w:r>
      <w:r w:rsidRPr="00171C48">
        <w:rPr>
          <w:spacing w:val="-4"/>
          <w:sz w:val="28"/>
          <w:szCs w:val="28"/>
        </w:rPr>
        <w:t xml:space="preserve">А36-10161/2016 МУП «Второе ГЖУ» признано несостоятельным (банкротом), открыта процедура банкротства – конкурсное производство; конкурсным      управляющим утвержден Строганов Сергей Александрович. </w:t>
      </w:r>
    </w:p>
    <w:p w:rsidR="00171C48" w:rsidRDefault="00171C48" w:rsidP="00171C4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71C48">
        <w:rPr>
          <w:spacing w:val="-4"/>
          <w:sz w:val="28"/>
          <w:szCs w:val="28"/>
        </w:rPr>
        <w:t>Определением от 21.12.2018г., резолютивная часть которого оглашена 20.12.2018г., удовлетворено заявление конкурсного управляющего Строганова С.А. о продлении срока конкурсного производства в МУП «Второе ГЖУ» на шесть месяцев до 20.06.2019г.</w:t>
      </w:r>
    </w:p>
    <w:p w:rsidR="00787E43" w:rsidRDefault="00C409A7" w:rsidP="00171C48">
      <w:pPr>
        <w:widowControl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C409A7">
        <w:rPr>
          <w:spacing w:val="-4"/>
          <w:sz w:val="28"/>
          <w:szCs w:val="28"/>
        </w:rPr>
        <w:t xml:space="preserve">Мониторинг кредиторской и дебиторской задолженности </w:t>
      </w:r>
      <w:r w:rsidR="00E90B54">
        <w:rPr>
          <w:spacing w:val="-4"/>
          <w:sz w:val="28"/>
          <w:szCs w:val="28"/>
        </w:rPr>
        <w:t xml:space="preserve">предприятий </w:t>
      </w:r>
      <w:r>
        <w:rPr>
          <w:spacing w:val="-4"/>
          <w:sz w:val="28"/>
          <w:szCs w:val="28"/>
        </w:rPr>
        <w:t>проведен без данных МУ РСДП в связи с не</w:t>
      </w:r>
      <w:r w:rsidR="00787E43" w:rsidRPr="00C409A7">
        <w:rPr>
          <w:spacing w:val="-4"/>
          <w:sz w:val="28"/>
          <w:szCs w:val="28"/>
        </w:rPr>
        <w:t>представлен</w:t>
      </w:r>
      <w:r>
        <w:rPr>
          <w:spacing w:val="-4"/>
          <w:sz w:val="28"/>
          <w:szCs w:val="28"/>
        </w:rPr>
        <w:t>ием</w:t>
      </w:r>
      <w:r w:rsidR="00787E43" w:rsidRPr="00C409A7">
        <w:rPr>
          <w:spacing w:val="-4"/>
          <w:sz w:val="28"/>
          <w:szCs w:val="28"/>
        </w:rPr>
        <w:t xml:space="preserve"> </w:t>
      </w:r>
      <w:r w:rsidRPr="00C409A7">
        <w:rPr>
          <w:spacing w:val="-4"/>
          <w:sz w:val="28"/>
          <w:szCs w:val="28"/>
        </w:rPr>
        <w:t>в департамент экономического развития администрации города Липецка</w:t>
      </w:r>
      <w:r w:rsidR="00883191" w:rsidRPr="00883191">
        <w:rPr>
          <w:spacing w:val="-4"/>
          <w:sz w:val="28"/>
          <w:szCs w:val="28"/>
        </w:rPr>
        <w:t xml:space="preserve"> </w:t>
      </w:r>
      <w:r w:rsidR="00883191">
        <w:rPr>
          <w:spacing w:val="-4"/>
          <w:sz w:val="28"/>
          <w:szCs w:val="28"/>
        </w:rPr>
        <w:t>информации</w:t>
      </w:r>
      <w:r w:rsidR="00883191" w:rsidRPr="00C409A7">
        <w:rPr>
          <w:spacing w:val="-4"/>
          <w:sz w:val="28"/>
          <w:szCs w:val="28"/>
        </w:rPr>
        <w:t xml:space="preserve"> Учредителем</w:t>
      </w:r>
      <w:r w:rsidR="00944A91">
        <w:rPr>
          <w:spacing w:val="-4"/>
          <w:sz w:val="28"/>
          <w:szCs w:val="28"/>
        </w:rPr>
        <w:t> – департаментом дорожного хозяйства и благоустройства администрации города Липецка</w:t>
      </w:r>
      <w:r w:rsidR="00787E43" w:rsidRPr="00C409A7">
        <w:rPr>
          <w:spacing w:val="-4"/>
          <w:sz w:val="28"/>
          <w:szCs w:val="28"/>
        </w:rPr>
        <w:t>.</w:t>
      </w:r>
      <w:r w:rsidR="00787E43" w:rsidRPr="000D4FD0">
        <w:rPr>
          <w:spacing w:val="-4"/>
          <w:sz w:val="28"/>
          <w:szCs w:val="28"/>
        </w:rPr>
        <w:t xml:space="preserve"> </w:t>
      </w:r>
      <w:proofErr w:type="gramEnd"/>
    </w:p>
    <w:p w:rsidR="005D02F0" w:rsidRDefault="005D02F0" w:rsidP="001B29BB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</w:p>
    <w:p w:rsidR="00F2794A" w:rsidRDefault="00F2794A" w:rsidP="001B29BB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</w:p>
    <w:p w:rsidR="00AE6DA6" w:rsidRPr="000C5E0F" w:rsidRDefault="001B29BB" w:rsidP="001B29BB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  <w:r w:rsidRPr="000C5E0F">
        <w:rPr>
          <w:spacing w:val="-4"/>
          <w:sz w:val="28"/>
          <w:szCs w:val="28"/>
        </w:rPr>
        <w:t xml:space="preserve">1. </w:t>
      </w:r>
      <w:r w:rsidR="00AE6DA6" w:rsidRPr="000C5E0F">
        <w:rPr>
          <w:spacing w:val="-4"/>
          <w:sz w:val="28"/>
          <w:szCs w:val="28"/>
        </w:rPr>
        <w:t xml:space="preserve">Мониторинг </w:t>
      </w:r>
      <w:proofErr w:type="gramStart"/>
      <w:r w:rsidR="00AE6DA6" w:rsidRPr="000C5E0F">
        <w:rPr>
          <w:spacing w:val="-4"/>
          <w:sz w:val="28"/>
          <w:szCs w:val="28"/>
        </w:rPr>
        <w:t>кредиторской</w:t>
      </w:r>
      <w:proofErr w:type="gramEnd"/>
      <w:r w:rsidR="00AE6DA6" w:rsidRPr="000C5E0F">
        <w:rPr>
          <w:spacing w:val="-4"/>
          <w:sz w:val="28"/>
          <w:szCs w:val="28"/>
        </w:rPr>
        <w:t xml:space="preserve"> задолженности </w:t>
      </w:r>
    </w:p>
    <w:p w:rsidR="00AE6DA6" w:rsidRPr="000C5E0F" w:rsidRDefault="00AE6DA6" w:rsidP="001B29BB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  <w:r w:rsidRPr="000C5E0F">
        <w:rPr>
          <w:spacing w:val="-4"/>
          <w:sz w:val="28"/>
          <w:szCs w:val="28"/>
        </w:rPr>
        <w:t>предприятий муниципального сектора экономики</w:t>
      </w:r>
    </w:p>
    <w:p w:rsidR="00AE6DA6" w:rsidRPr="000C5E0F" w:rsidRDefault="00AE6DA6" w:rsidP="001B29BB">
      <w:pPr>
        <w:autoSpaceDE w:val="0"/>
        <w:autoSpaceDN w:val="0"/>
        <w:adjustRightInd w:val="0"/>
        <w:ind w:firstLine="709"/>
        <w:jc w:val="center"/>
        <w:rPr>
          <w:color w:val="FF0000"/>
          <w:spacing w:val="-4"/>
          <w:sz w:val="28"/>
          <w:szCs w:val="28"/>
        </w:rPr>
      </w:pPr>
    </w:p>
    <w:p w:rsidR="00AE6DA6" w:rsidRPr="000E491D" w:rsidRDefault="000E491D" w:rsidP="001B29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E491D">
        <w:rPr>
          <w:spacing w:val="-4"/>
          <w:sz w:val="28"/>
          <w:szCs w:val="28"/>
        </w:rPr>
        <w:t xml:space="preserve">В </w:t>
      </w:r>
      <w:r w:rsidR="00AE6DA6" w:rsidRPr="000E491D">
        <w:rPr>
          <w:spacing w:val="-4"/>
          <w:sz w:val="28"/>
          <w:szCs w:val="28"/>
        </w:rPr>
        <w:t>2018</w:t>
      </w:r>
      <w:r w:rsidRPr="000E491D">
        <w:rPr>
          <w:spacing w:val="-4"/>
          <w:sz w:val="28"/>
          <w:szCs w:val="28"/>
        </w:rPr>
        <w:t xml:space="preserve"> году</w:t>
      </w:r>
      <w:r w:rsidR="00AE6DA6" w:rsidRPr="000E491D">
        <w:rPr>
          <w:spacing w:val="-4"/>
          <w:sz w:val="28"/>
          <w:szCs w:val="28"/>
        </w:rPr>
        <w:t xml:space="preserve"> в муниципальном секторе экономики финансово-хозяйственную деятельность осуществляли 1</w:t>
      </w:r>
      <w:r w:rsidR="009417E8">
        <w:rPr>
          <w:spacing w:val="-4"/>
          <w:sz w:val="28"/>
          <w:szCs w:val="28"/>
        </w:rPr>
        <w:t>3</w:t>
      </w:r>
      <w:r w:rsidR="00AE6DA6" w:rsidRPr="000E491D">
        <w:rPr>
          <w:spacing w:val="-4"/>
          <w:sz w:val="28"/>
          <w:szCs w:val="28"/>
        </w:rPr>
        <w:t xml:space="preserve"> предприятий, в том числе в сфере ЖКХ – </w:t>
      </w:r>
      <w:r w:rsidR="009417E8">
        <w:rPr>
          <w:spacing w:val="-4"/>
          <w:sz w:val="28"/>
          <w:szCs w:val="28"/>
        </w:rPr>
        <w:t>8</w:t>
      </w:r>
      <w:r w:rsidR="00AE6DA6" w:rsidRPr="000E491D">
        <w:rPr>
          <w:spacing w:val="-4"/>
          <w:sz w:val="28"/>
          <w:szCs w:val="28"/>
        </w:rPr>
        <w:t xml:space="preserve">, транспорта – </w:t>
      </w:r>
      <w:r w:rsidR="005E466E" w:rsidRPr="000E491D">
        <w:rPr>
          <w:spacing w:val="-4"/>
          <w:sz w:val="28"/>
          <w:szCs w:val="28"/>
        </w:rPr>
        <w:t>2</w:t>
      </w:r>
      <w:r w:rsidR="00AE6DA6" w:rsidRPr="000E491D">
        <w:rPr>
          <w:spacing w:val="-4"/>
          <w:sz w:val="28"/>
          <w:szCs w:val="28"/>
        </w:rPr>
        <w:t>, дорожного х</w:t>
      </w:r>
      <w:r w:rsidR="00CA36C2" w:rsidRPr="000E491D">
        <w:rPr>
          <w:spacing w:val="-4"/>
          <w:sz w:val="28"/>
          <w:szCs w:val="28"/>
        </w:rPr>
        <w:t>озяйства и благоустройства – 3.</w:t>
      </w:r>
    </w:p>
    <w:p w:rsidR="00865D72" w:rsidRPr="00674048" w:rsidRDefault="002D5F88" w:rsidP="001B29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74048">
        <w:rPr>
          <w:spacing w:val="-4"/>
          <w:sz w:val="28"/>
          <w:szCs w:val="28"/>
        </w:rPr>
        <w:t>П</w:t>
      </w:r>
      <w:r w:rsidR="00865D72" w:rsidRPr="00674048">
        <w:rPr>
          <w:spacing w:val="-4"/>
          <w:sz w:val="28"/>
          <w:szCs w:val="28"/>
        </w:rPr>
        <w:t>утем реорганизации МУП «Липецкая городская транспортная компания</w:t>
      </w:r>
      <w:r w:rsidRPr="00674048">
        <w:rPr>
          <w:spacing w:val="-4"/>
          <w:sz w:val="28"/>
          <w:szCs w:val="28"/>
        </w:rPr>
        <w:t xml:space="preserve">» в форме </w:t>
      </w:r>
      <w:r w:rsidR="00865D72" w:rsidRPr="00674048">
        <w:rPr>
          <w:spacing w:val="-4"/>
          <w:sz w:val="28"/>
          <w:szCs w:val="28"/>
        </w:rPr>
        <w:t>преобразования 30.08.2018 создано</w:t>
      </w:r>
      <w:r w:rsidRPr="00674048">
        <w:rPr>
          <w:spacing w:val="-4"/>
          <w:sz w:val="28"/>
          <w:szCs w:val="28"/>
        </w:rPr>
        <w:t xml:space="preserve"> М</w:t>
      </w:r>
      <w:r w:rsidR="00865D72" w:rsidRPr="00674048">
        <w:rPr>
          <w:spacing w:val="-4"/>
          <w:sz w:val="28"/>
          <w:szCs w:val="28"/>
        </w:rPr>
        <w:t>БУ</w:t>
      </w:r>
      <w:r w:rsidRPr="00674048">
        <w:rPr>
          <w:spacing w:val="-4"/>
          <w:sz w:val="28"/>
          <w:szCs w:val="28"/>
        </w:rPr>
        <w:t xml:space="preserve"> «</w:t>
      </w:r>
      <w:r w:rsidR="00865D72" w:rsidRPr="00674048">
        <w:rPr>
          <w:spacing w:val="-4"/>
          <w:sz w:val="28"/>
          <w:szCs w:val="28"/>
        </w:rPr>
        <w:t>Липецкая городская транспортная компания</w:t>
      </w:r>
      <w:r w:rsidRPr="00674048">
        <w:rPr>
          <w:spacing w:val="-4"/>
          <w:sz w:val="28"/>
          <w:szCs w:val="28"/>
        </w:rPr>
        <w:t xml:space="preserve">». </w:t>
      </w:r>
    </w:p>
    <w:p w:rsidR="00674048" w:rsidRPr="00674048" w:rsidRDefault="00674048" w:rsidP="001B29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74048">
        <w:rPr>
          <w:spacing w:val="-4"/>
          <w:sz w:val="28"/>
          <w:szCs w:val="28"/>
        </w:rPr>
        <w:t>Путем реорганизации МУП «Липецкпассажиртранс» в форме выделения 15.05.2018 образовано МУП «Городской электротранспорт».</w:t>
      </w:r>
    </w:p>
    <w:p w:rsidR="00AE6DA6" w:rsidRDefault="00AE6DA6" w:rsidP="001B29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60FF2">
        <w:rPr>
          <w:spacing w:val="-4"/>
          <w:sz w:val="28"/>
          <w:szCs w:val="28"/>
        </w:rPr>
        <w:t xml:space="preserve">С начала текущего года общая сумма кредиторской задолженности предприятий </w:t>
      </w:r>
      <w:r w:rsidR="00F60FF2" w:rsidRPr="00F60FF2">
        <w:rPr>
          <w:spacing w:val="-4"/>
          <w:sz w:val="28"/>
          <w:szCs w:val="28"/>
        </w:rPr>
        <w:t>выросла</w:t>
      </w:r>
      <w:r w:rsidRPr="00F60FF2">
        <w:rPr>
          <w:spacing w:val="-4"/>
          <w:sz w:val="28"/>
          <w:szCs w:val="28"/>
        </w:rPr>
        <w:t xml:space="preserve"> на </w:t>
      </w:r>
      <w:r w:rsidR="00F60FF2">
        <w:rPr>
          <w:spacing w:val="-4"/>
          <w:sz w:val="28"/>
          <w:szCs w:val="28"/>
        </w:rPr>
        <w:t>5</w:t>
      </w:r>
      <w:r w:rsidR="00BF3A10">
        <w:rPr>
          <w:spacing w:val="-4"/>
          <w:sz w:val="28"/>
          <w:szCs w:val="28"/>
        </w:rPr>
        <w:t>5,5</w:t>
      </w:r>
      <w:r w:rsidRPr="00F60FF2">
        <w:rPr>
          <w:spacing w:val="-4"/>
          <w:sz w:val="28"/>
          <w:szCs w:val="28"/>
        </w:rPr>
        <w:t xml:space="preserve"> млн. рублей (</w:t>
      </w:r>
      <w:r w:rsidR="00BF3A10">
        <w:rPr>
          <w:spacing w:val="-4"/>
          <w:sz w:val="28"/>
          <w:szCs w:val="28"/>
        </w:rPr>
        <w:t>13,9</w:t>
      </w:r>
      <w:r w:rsidRPr="00F60FF2">
        <w:rPr>
          <w:spacing w:val="-4"/>
          <w:sz w:val="28"/>
          <w:szCs w:val="28"/>
        </w:rPr>
        <w:t xml:space="preserve">%) и составила </w:t>
      </w:r>
      <w:r w:rsidR="00F60FF2" w:rsidRPr="00F60FF2">
        <w:rPr>
          <w:spacing w:val="-4"/>
          <w:sz w:val="28"/>
          <w:szCs w:val="28"/>
        </w:rPr>
        <w:t>4</w:t>
      </w:r>
      <w:r w:rsidR="00F60FF2">
        <w:rPr>
          <w:spacing w:val="-4"/>
          <w:sz w:val="28"/>
          <w:szCs w:val="28"/>
        </w:rPr>
        <w:t>5</w:t>
      </w:r>
      <w:r w:rsidR="00F60FF2" w:rsidRPr="00F60FF2">
        <w:rPr>
          <w:spacing w:val="-4"/>
          <w:sz w:val="28"/>
          <w:szCs w:val="28"/>
        </w:rPr>
        <w:t>6</w:t>
      </w:r>
      <w:r w:rsidR="00913D34">
        <w:rPr>
          <w:spacing w:val="-4"/>
          <w:sz w:val="28"/>
          <w:szCs w:val="28"/>
        </w:rPr>
        <w:t>,3</w:t>
      </w:r>
      <w:r w:rsidRPr="00F60FF2">
        <w:rPr>
          <w:spacing w:val="-4"/>
          <w:sz w:val="28"/>
          <w:szCs w:val="28"/>
        </w:rPr>
        <w:t xml:space="preserve"> млн. рублей. </w:t>
      </w:r>
      <w:r w:rsidRPr="00FF061E">
        <w:rPr>
          <w:spacing w:val="-4"/>
          <w:sz w:val="28"/>
          <w:szCs w:val="28"/>
        </w:rPr>
        <w:t xml:space="preserve">При этом доля задолженности </w:t>
      </w:r>
      <w:r w:rsidR="00B477FD" w:rsidRPr="00FF061E">
        <w:rPr>
          <w:spacing w:val="-4"/>
          <w:sz w:val="28"/>
          <w:szCs w:val="28"/>
        </w:rPr>
        <w:t>от всех обязатель</w:t>
      </w:r>
      <w:proofErr w:type="gramStart"/>
      <w:r w:rsidR="00B477FD" w:rsidRPr="00FF061E">
        <w:rPr>
          <w:spacing w:val="-4"/>
          <w:sz w:val="28"/>
          <w:szCs w:val="28"/>
        </w:rPr>
        <w:t xml:space="preserve">ств </w:t>
      </w:r>
      <w:r w:rsidRPr="00FF061E">
        <w:rPr>
          <w:spacing w:val="-4"/>
          <w:sz w:val="28"/>
          <w:szCs w:val="28"/>
        </w:rPr>
        <w:t>пр</w:t>
      </w:r>
      <w:proofErr w:type="gramEnd"/>
      <w:r w:rsidRPr="00FF061E">
        <w:rPr>
          <w:spacing w:val="-4"/>
          <w:sz w:val="28"/>
          <w:szCs w:val="28"/>
        </w:rPr>
        <w:t xml:space="preserve">едприятий ЖКХ составила </w:t>
      </w:r>
      <w:r w:rsidR="00FF061E" w:rsidRPr="00FF061E">
        <w:rPr>
          <w:spacing w:val="-4"/>
          <w:sz w:val="28"/>
          <w:szCs w:val="28"/>
        </w:rPr>
        <w:t>57</w:t>
      </w:r>
      <w:r w:rsidR="001C7CEE">
        <w:rPr>
          <w:spacing w:val="-4"/>
          <w:sz w:val="28"/>
          <w:szCs w:val="28"/>
        </w:rPr>
        <w:t>,1</w:t>
      </w:r>
      <w:r w:rsidRPr="00FF061E">
        <w:rPr>
          <w:spacing w:val="-4"/>
          <w:sz w:val="28"/>
          <w:szCs w:val="28"/>
        </w:rPr>
        <w:t xml:space="preserve">%, транспорта – </w:t>
      </w:r>
      <w:r w:rsidR="00B44551" w:rsidRPr="00FF061E">
        <w:rPr>
          <w:spacing w:val="-4"/>
          <w:sz w:val="28"/>
          <w:szCs w:val="28"/>
        </w:rPr>
        <w:t>3</w:t>
      </w:r>
      <w:r w:rsidR="001C7CEE">
        <w:rPr>
          <w:spacing w:val="-4"/>
          <w:sz w:val="28"/>
          <w:szCs w:val="28"/>
        </w:rPr>
        <w:t>2,9</w:t>
      </w:r>
      <w:r w:rsidRPr="00FF061E">
        <w:rPr>
          <w:spacing w:val="-4"/>
          <w:sz w:val="28"/>
          <w:szCs w:val="28"/>
        </w:rPr>
        <w:t xml:space="preserve">%, дорожного хозяйства и благоустройства </w:t>
      </w:r>
      <w:r w:rsidRPr="00FF061E">
        <w:rPr>
          <w:spacing w:val="-4"/>
          <w:sz w:val="28"/>
          <w:szCs w:val="28"/>
        </w:rPr>
        <w:sym w:font="Symbol" w:char="F02D"/>
      </w:r>
      <w:r w:rsidRPr="00FF061E">
        <w:rPr>
          <w:spacing w:val="-4"/>
          <w:sz w:val="28"/>
          <w:szCs w:val="28"/>
        </w:rPr>
        <w:t xml:space="preserve"> </w:t>
      </w:r>
      <w:r w:rsidR="00FF061E" w:rsidRPr="00FF061E">
        <w:rPr>
          <w:spacing w:val="-4"/>
          <w:sz w:val="28"/>
          <w:szCs w:val="28"/>
        </w:rPr>
        <w:t>10</w:t>
      </w:r>
      <w:r w:rsidR="001C7CEE">
        <w:rPr>
          <w:spacing w:val="-4"/>
          <w:sz w:val="28"/>
          <w:szCs w:val="28"/>
        </w:rPr>
        <w:t>,0</w:t>
      </w:r>
      <w:r w:rsidRPr="00FF061E">
        <w:rPr>
          <w:spacing w:val="-4"/>
          <w:sz w:val="28"/>
          <w:szCs w:val="28"/>
        </w:rPr>
        <w:t>%.</w:t>
      </w:r>
    </w:p>
    <w:p w:rsidR="00CE5D30" w:rsidRPr="00FF061E" w:rsidRDefault="00CE5D30" w:rsidP="001B29BB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C507E8" w:rsidRPr="000C5E0F" w:rsidRDefault="00064EFA" w:rsidP="00AE6DA6">
      <w:pPr>
        <w:widowControl w:val="0"/>
        <w:jc w:val="center"/>
        <w:rPr>
          <w:color w:val="FF0000"/>
          <w:spacing w:val="-4"/>
          <w:sz w:val="28"/>
          <w:szCs w:val="28"/>
        </w:rPr>
      </w:pPr>
      <w:r w:rsidRPr="000C5E0F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8C99030" wp14:editId="17AD6612">
            <wp:extent cx="5160397" cy="2870421"/>
            <wp:effectExtent l="0" t="0" r="0" b="635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67DE" w:rsidRPr="000C5E0F" w:rsidRDefault="00B167DE" w:rsidP="000D483B">
      <w:pPr>
        <w:widowControl w:val="0"/>
        <w:ind w:firstLine="709"/>
        <w:jc w:val="both"/>
        <w:rPr>
          <w:color w:val="FF0000"/>
          <w:spacing w:val="-4"/>
          <w:sz w:val="28"/>
          <w:szCs w:val="28"/>
        </w:rPr>
      </w:pPr>
    </w:p>
    <w:p w:rsidR="00B477FD" w:rsidRPr="00251717" w:rsidRDefault="00B477FD" w:rsidP="000D483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51717">
        <w:rPr>
          <w:spacing w:val="-4"/>
          <w:sz w:val="28"/>
          <w:szCs w:val="28"/>
        </w:rPr>
        <w:t xml:space="preserve">В разрезе предприятий </w:t>
      </w:r>
      <w:r w:rsidR="001F7C48" w:rsidRPr="00251717">
        <w:rPr>
          <w:spacing w:val="-4"/>
          <w:sz w:val="28"/>
          <w:szCs w:val="28"/>
        </w:rPr>
        <w:t>рост</w:t>
      </w:r>
      <w:r w:rsidR="00246403" w:rsidRPr="00251717">
        <w:rPr>
          <w:spacing w:val="-4"/>
          <w:sz w:val="28"/>
          <w:szCs w:val="28"/>
        </w:rPr>
        <w:t xml:space="preserve"> </w:t>
      </w:r>
      <w:proofErr w:type="gramStart"/>
      <w:r w:rsidR="00806EFD" w:rsidRPr="00251717">
        <w:rPr>
          <w:spacing w:val="-4"/>
          <w:sz w:val="28"/>
          <w:szCs w:val="28"/>
        </w:rPr>
        <w:t>кредиторск</w:t>
      </w:r>
      <w:r w:rsidR="00C84845" w:rsidRPr="00251717">
        <w:rPr>
          <w:spacing w:val="-4"/>
          <w:sz w:val="28"/>
          <w:szCs w:val="28"/>
        </w:rPr>
        <w:t>ой</w:t>
      </w:r>
      <w:proofErr w:type="gramEnd"/>
      <w:r w:rsidR="00806EFD" w:rsidRPr="00251717">
        <w:rPr>
          <w:spacing w:val="-4"/>
          <w:sz w:val="28"/>
          <w:szCs w:val="28"/>
        </w:rPr>
        <w:t xml:space="preserve"> задолженност</w:t>
      </w:r>
      <w:r w:rsidR="00C84845" w:rsidRPr="00251717">
        <w:rPr>
          <w:spacing w:val="-4"/>
          <w:sz w:val="28"/>
          <w:szCs w:val="28"/>
        </w:rPr>
        <w:t>и отмеч</w:t>
      </w:r>
      <w:r w:rsidRPr="00251717">
        <w:rPr>
          <w:spacing w:val="-4"/>
          <w:sz w:val="28"/>
          <w:szCs w:val="28"/>
        </w:rPr>
        <w:t>ен в</w:t>
      </w:r>
      <w:r w:rsidR="0043427A" w:rsidRPr="00251717">
        <w:rPr>
          <w:spacing w:val="-4"/>
          <w:sz w:val="28"/>
          <w:szCs w:val="28"/>
        </w:rPr>
        <w:t>:</w:t>
      </w:r>
    </w:p>
    <w:p w:rsidR="0018233E" w:rsidRPr="00251717" w:rsidRDefault="001F5410" w:rsidP="007B2B2F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51717">
        <w:rPr>
          <w:spacing w:val="-4"/>
          <w:sz w:val="28"/>
          <w:szCs w:val="28"/>
        </w:rPr>
        <w:t xml:space="preserve">МУП «Горэлектросеть» г. Липецка с 1,3 до </w:t>
      </w:r>
      <w:r w:rsidR="00251717">
        <w:rPr>
          <w:spacing w:val="-4"/>
          <w:sz w:val="28"/>
          <w:szCs w:val="28"/>
        </w:rPr>
        <w:t>4,3</w:t>
      </w:r>
      <w:r w:rsidRPr="00251717">
        <w:rPr>
          <w:spacing w:val="-4"/>
          <w:sz w:val="28"/>
          <w:szCs w:val="28"/>
        </w:rPr>
        <w:t xml:space="preserve"> млн. рублей (↑ на </w:t>
      </w:r>
      <w:r w:rsidR="00251717">
        <w:rPr>
          <w:spacing w:val="-4"/>
          <w:sz w:val="28"/>
          <w:szCs w:val="28"/>
        </w:rPr>
        <w:t>3</w:t>
      </w:r>
      <w:r w:rsidR="006532B2">
        <w:rPr>
          <w:spacing w:val="-4"/>
          <w:sz w:val="28"/>
          <w:szCs w:val="28"/>
        </w:rPr>
        <w:t>,0</w:t>
      </w:r>
      <w:r w:rsidRPr="00251717">
        <w:rPr>
          <w:spacing w:val="-4"/>
          <w:sz w:val="28"/>
          <w:szCs w:val="28"/>
        </w:rPr>
        <w:t xml:space="preserve"> млн. рублей или</w:t>
      </w:r>
      <w:r w:rsidR="00F71323">
        <w:rPr>
          <w:spacing w:val="-4"/>
          <w:sz w:val="28"/>
          <w:szCs w:val="28"/>
        </w:rPr>
        <w:t xml:space="preserve"> в</w:t>
      </w:r>
      <w:r w:rsidRPr="00251717">
        <w:rPr>
          <w:spacing w:val="-4"/>
          <w:sz w:val="28"/>
          <w:szCs w:val="28"/>
        </w:rPr>
        <w:t xml:space="preserve"> </w:t>
      </w:r>
      <w:r w:rsidR="007B2B2F">
        <w:rPr>
          <w:spacing w:val="-4"/>
          <w:sz w:val="28"/>
          <w:szCs w:val="28"/>
        </w:rPr>
        <w:t>3,3 раза</w:t>
      </w:r>
      <w:r w:rsidRPr="00251717">
        <w:rPr>
          <w:spacing w:val="-4"/>
          <w:sz w:val="28"/>
          <w:szCs w:val="28"/>
        </w:rPr>
        <w:t>)</w:t>
      </w:r>
      <w:r w:rsidR="006E62EA">
        <w:rPr>
          <w:spacing w:val="-4"/>
          <w:sz w:val="28"/>
          <w:szCs w:val="28"/>
        </w:rPr>
        <w:t>,</w:t>
      </w:r>
      <w:r w:rsidR="00F71323">
        <w:rPr>
          <w:spacing w:val="-4"/>
          <w:sz w:val="28"/>
          <w:szCs w:val="28"/>
        </w:rPr>
        <w:t xml:space="preserve"> </w:t>
      </w:r>
      <w:r w:rsidR="006E62EA">
        <w:rPr>
          <w:spacing w:val="-4"/>
          <w:sz w:val="28"/>
          <w:szCs w:val="28"/>
        </w:rPr>
        <w:t>о</w:t>
      </w:r>
      <w:r w:rsidR="00F71323">
        <w:rPr>
          <w:spacing w:val="-4"/>
          <w:sz w:val="28"/>
          <w:szCs w:val="28"/>
        </w:rPr>
        <w:t xml:space="preserve">сновная сумма </w:t>
      </w:r>
      <w:r w:rsidR="006E62EA">
        <w:rPr>
          <w:spacing w:val="-4"/>
          <w:sz w:val="28"/>
          <w:szCs w:val="28"/>
        </w:rPr>
        <w:t xml:space="preserve">- задолженность </w:t>
      </w:r>
      <w:r w:rsidR="007B2B2F">
        <w:rPr>
          <w:spacing w:val="-4"/>
          <w:sz w:val="28"/>
          <w:szCs w:val="28"/>
        </w:rPr>
        <w:t>по налогам и сборам</w:t>
      </w:r>
      <w:r w:rsidR="006E62EA">
        <w:rPr>
          <w:spacing w:val="-4"/>
          <w:sz w:val="28"/>
          <w:szCs w:val="28"/>
        </w:rPr>
        <w:t xml:space="preserve">, </w:t>
      </w:r>
      <w:r w:rsidR="0018233E" w:rsidRPr="00251717">
        <w:rPr>
          <w:spacing w:val="-4"/>
          <w:sz w:val="28"/>
          <w:szCs w:val="28"/>
        </w:rPr>
        <w:t>является текущей и погаш</w:t>
      </w:r>
      <w:r w:rsidR="007B2B2F">
        <w:rPr>
          <w:spacing w:val="-4"/>
          <w:sz w:val="28"/>
          <w:szCs w:val="28"/>
        </w:rPr>
        <w:t>ена</w:t>
      </w:r>
      <w:r w:rsidR="0018233E" w:rsidRPr="00251717">
        <w:rPr>
          <w:spacing w:val="-4"/>
          <w:sz w:val="28"/>
          <w:szCs w:val="28"/>
        </w:rPr>
        <w:t xml:space="preserve"> в соответствии с установленными сроками оплаты;</w:t>
      </w:r>
    </w:p>
    <w:p w:rsidR="001F5410" w:rsidRPr="00F04B0E" w:rsidRDefault="001F5410" w:rsidP="00F04B0E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04B0E">
        <w:rPr>
          <w:spacing w:val="-4"/>
          <w:sz w:val="28"/>
          <w:szCs w:val="28"/>
        </w:rPr>
        <w:t xml:space="preserve">МУП «Липецктеплосеть» с 3,8 до </w:t>
      </w:r>
      <w:r w:rsidR="00F04B0E" w:rsidRPr="00F04B0E">
        <w:rPr>
          <w:spacing w:val="-4"/>
          <w:sz w:val="28"/>
          <w:szCs w:val="28"/>
        </w:rPr>
        <w:t>8</w:t>
      </w:r>
      <w:r w:rsidR="004E0D44" w:rsidRPr="00F04B0E">
        <w:rPr>
          <w:spacing w:val="-4"/>
          <w:sz w:val="28"/>
          <w:szCs w:val="28"/>
        </w:rPr>
        <w:t>,</w:t>
      </w:r>
      <w:r w:rsidR="00F04B0E" w:rsidRPr="00F04B0E">
        <w:rPr>
          <w:spacing w:val="-4"/>
          <w:sz w:val="28"/>
          <w:szCs w:val="28"/>
        </w:rPr>
        <w:t>7</w:t>
      </w:r>
      <w:r w:rsidRPr="00F04B0E">
        <w:rPr>
          <w:spacing w:val="-4"/>
          <w:sz w:val="28"/>
          <w:szCs w:val="28"/>
        </w:rPr>
        <w:t xml:space="preserve"> млн. рублей (↑ на </w:t>
      </w:r>
      <w:r w:rsidR="00F04B0E" w:rsidRPr="00F04B0E">
        <w:rPr>
          <w:spacing w:val="-4"/>
          <w:sz w:val="28"/>
          <w:szCs w:val="28"/>
        </w:rPr>
        <w:t>4,9</w:t>
      </w:r>
      <w:r w:rsidRPr="00F04B0E">
        <w:rPr>
          <w:spacing w:val="-4"/>
          <w:sz w:val="28"/>
          <w:szCs w:val="28"/>
        </w:rPr>
        <w:t xml:space="preserve"> млн. рублей или</w:t>
      </w:r>
      <w:r w:rsidR="00F04B0E" w:rsidRPr="00F04B0E">
        <w:t xml:space="preserve"> </w:t>
      </w:r>
      <w:r w:rsidR="00F04B0E" w:rsidRPr="00F04B0E">
        <w:rPr>
          <w:spacing w:val="-4"/>
          <w:sz w:val="28"/>
          <w:szCs w:val="28"/>
        </w:rPr>
        <w:t>в 2</w:t>
      </w:r>
      <w:r w:rsidR="00F71323">
        <w:rPr>
          <w:spacing w:val="-4"/>
          <w:sz w:val="28"/>
          <w:szCs w:val="28"/>
        </w:rPr>
        <w:t>,3</w:t>
      </w:r>
      <w:r w:rsidR="00F04B0E" w:rsidRPr="00F04B0E">
        <w:rPr>
          <w:spacing w:val="-4"/>
          <w:sz w:val="28"/>
          <w:szCs w:val="28"/>
        </w:rPr>
        <w:t xml:space="preserve"> раза</w:t>
      </w:r>
      <w:r w:rsidRPr="00F04B0E">
        <w:rPr>
          <w:spacing w:val="-4"/>
          <w:sz w:val="28"/>
          <w:szCs w:val="28"/>
        </w:rPr>
        <w:t>)</w:t>
      </w:r>
      <w:r w:rsidR="00317B3B" w:rsidRPr="00F04B0E">
        <w:rPr>
          <w:spacing w:val="-4"/>
          <w:sz w:val="28"/>
          <w:szCs w:val="28"/>
        </w:rPr>
        <w:t xml:space="preserve">. Задолженность </w:t>
      </w:r>
      <w:r w:rsidR="00F04B0E" w:rsidRPr="00F04B0E">
        <w:rPr>
          <w:spacing w:val="-4"/>
          <w:sz w:val="28"/>
          <w:szCs w:val="28"/>
        </w:rPr>
        <w:t xml:space="preserve">по налогам и сборам </w:t>
      </w:r>
      <w:r w:rsidR="002C53F3" w:rsidRPr="00F04B0E">
        <w:rPr>
          <w:spacing w:val="-4"/>
          <w:sz w:val="28"/>
          <w:szCs w:val="28"/>
        </w:rPr>
        <w:t xml:space="preserve">в сумме </w:t>
      </w:r>
      <w:r w:rsidR="00F04B0E" w:rsidRPr="00F04B0E">
        <w:rPr>
          <w:spacing w:val="-4"/>
          <w:sz w:val="28"/>
          <w:szCs w:val="28"/>
        </w:rPr>
        <w:t>8,5</w:t>
      </w:r>
      <w:r w:rsidR="002C53F3" w:rsidRPr="00F04B0E">
        <w:rPr>
          <w:spacing w:val="-4"/>
          <w:sz w:val="28"/>
          <w:szCs w:val="28"/>
        </w:rPr>
        <w:t xml:space="preserve"> млн. рублей</w:t>
      </w:r>
      <w:r w:rsidR="00D838D1" w:rsidRPr="00F04B0E">
        <w:rPr>
          <w:spacing w:val="-4"/>
          <w:sz w:val="28"/>
          <w:szCs w:val="28"/>
        </w:rPr>
        <w:t xml:space="preserve"> погаш</w:t>
      </w:r>
      <w:r w:rsidR="002C53F3" w:rsidRPr="00F04B0E">
        <w:rPr>
          <w:spacing w:val="-4"/>
          <w:sz w:val="28"/>
          <w:szCs w:val="28"/>
        </w:rPr>
        <w:t>ена</w:t>
      </w:r>
      <w:r w:rsidR="00D838D1" w:rsidRPr="00F04B0E">
        <w:rPr>
          <w:spacing w:val="-4"/>
          <w:sz w:val="28"/>
          <w:szCs w:val="28"/>
        </w:rPr>
        <w:t xml:space="preserve"> в соответствии с установленными сроками оплаты</w:t>
      </w:r>
      <w:r w:rsidR="002C53F3" w:rsidRPr="00F04B0E">
        <w:rPr>
          <w:spacing w:val="-4"/>
          <w:sz w:val="28"/>
          <w:szCs w:val="28"/>
        </w:rPr>
        <w:t>. Задолженность перед прочими кредиторами в сумме 0,</w:t>
      </w:r>
      <w:r w:rsidR="00F04B0E" w:rsidRPr="00F04B0E">
        <w:rPr>
          <w:spacing w:val="-4"/>
          <w:sz w:val="28"/>
          <w:szCs w:val="28"/>
        </w:rPr>
        <w:t>0</w:t>
      </w:r>
      <w:r w:rsidR="002C53F3" w:rsidRPr="00F04B0E">
        <w:rPr>
          <w:spacing w:val="-4"/>
          <w:sz w:val="28"/>
          <w:szCs w:val="28"/>
        </w:rPr>
        <w:t>6</w:t>
      </w:r>
      <w:r w:rsidR="00C56F39" w:rsidRPr="00F04B0E">
        <w:t xml:space="preserve"> </w:t>
      </w:r>
      <w:r w:rsidR="00C56F39" w:rsidRPr="00F04B0E">
        <w:rPr>
          <w:spacing w:val="-4"/>
          <w:sz w:val="28"/>
          <w:szCs w:val="28"/>
        </w:rPr>
        <w:t>млн. рублей – обеспечение конкурсной заявк</w:t>
      </w:r>
      <w:proofErr w:type="gramStart"/>
      <w:r w:rsidR="00C56F39" w:rsidRPr="00F04B0E">
        <w:rPr>
          <w:spacing w:val="-4"/>
          <w:sz w:val="28"/>
          <w:szCs w:val="28"/>
        </w:rPr>
        <w:t>и</w:t>
      </w:r>
      <w:r w:rsidR="00F04B0E" w:rsidRPr="00F04B0E">
        <w:rPr>
          <w:spacing w:val="-4"/>
          <w:sz w:val="28"/>
          <w:szCs w:val="28"/>
        </w:rPr>
        <w:t xml:space="preserve"> ООО</w:t>
      </w:r>
      <w:proofErr w:type="gramEnd"/>
      <w:r w:rsidR="00F04B0E" w:rsidRPr="00F04B0E">
        <w:rPr>
          <w:spacing w:val="-4"/>
          <w:sz w:val="28"/>
          <w:szCs w:val="28"/>
        </w:rPr>
        <w:t xml:space="preserve"> «</w:t>
      </w:r>
      <w:proofErr w:type="spellStart"/>
      <w:r w:rsidR="00F04B0E" w:rsidRPr="00F04B0E">
        <w:rPr>
          <w:spacing w:val="-4"/>
          <w:sz w:val="28"/>
          <w:szCs w:val="28"/>
        </w:rPr>
        <w:t>Технострой</w:t>
      </w:r>
      <w:proofErr w:type="spellEnd"/>
      <w:r w:rsidR="00F04B0E" w:rsidRPr="00F04B0E">
        <w:rPr>
          <w:spacing w:val="-4"/>
          <w:sz w:val="28"/>
          <w:szCs w:val="28"/>
        </w:rPr>
        <w:t>»</w:t>
      </w:r>
      <w:r w:rsidR="00C56F39" w:rsidRPr="00F04B0E">
        <w:rPr>
          <w:spacing w:val="-4"/>
          <w:sz w:val="28"/>
          <w:szCs w:val="28"/>
        </w:rPr>
        <w:t>;</w:t>
      </w:r>
    </w:p>
    <w:p w:rsidR="00A14AAB" w:rsidRDefault="00A14AAB" w:rsidP="003E666A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A14AAB">
        <w:rPr>
          <w:spacing w:val="-4"/>
          <w:sz w:val="28"/>
          <w:szCs w:val="28"/>
        </w:rPr>
        <w:t>МКП «Липецкгорсвет»</w:t>
      </w:r>
      <w:r>
        <w:rPr>
          <w:spacing w:val="-4"/>
          <w:sz w:val="28"/>
          <w:szCs w:val="28"/>
        </w:rPr>
        <w:t xml:space="preserve">  </w:t>
      </w:r>
      <w:r w:rsidRPr="00A14AAB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>12,1</w:t>
      </w:r>
      <w:r w:rsidRPr="00A14AAB">
        <w:rPr>
          <w:spacing w:val="-4"/>
          <w:sz w:val="28"/>
          <w:szCs w:val="28"/>
        </w:rPr>
        <w:t xml:space="preserve"> до </w:t>
      </w:r>
      <w:r>
        <w:rPr>
          <w:spacing w:val="-4"/>
          <w:sz w:val="28"/>
          <w:szCs w:val="28"/>
        </w:rPr>
        <w:t>28,8</w:t>
      </w:r>
      <w:r w:rsidRPr="00A14AAB">
        <w:rPr>
          <w:spacing w:val="-4"/>
          <w:sz w:val="28"/>
          <w:szCs w:val="28"/>
        </w:rPr>
        <w:t xml:space="preserve"> млн. рублей (↑ на </w:t>
      </w:r>
      <w:r>
        <w:rPr>
          <w:spacing w:val="-4"/>
          <w:sz w:val="28"/>
          <w:szCs w:val="28"/>
        </w:rPr>
        <w:t>16,7</w:t>
      </w:r>
      <w:r w:rsidRPr="00A14AAB">
        <w:rPr>
          <w:spacing w:val="-4"/>
          <w:sz w:val="28"/>
          <w:szCs w:val="28"/>
        </w:rPr>
        <w:t xml:space="preserve"> млн. рублей или в 2</w:t>
      </w:r>
      <w:r w:rsidR="00F71323">
        <w:rPr>
          <w:spacing w:val="-4"/>
          <w:sz w:val="28"/>
          <w:szCs w:val="28"/>
        </w:rPr>
        <w:t>,4</w:t>
      </w:r>
      <w:r w:rsidRPr="00A14AAB">
        <w:rPr>
          <w:spacing w:val="-4"/>
          <w:sz w:val="28"/>
          <w:szCs w:val="28"/>
        </w:rPr>
        <w:t xml:space="preserve"> раза</w:t>
      </w:r>
      <w:r w:rsidR="003E666A">
        <w:rPr>
          <w:spacing w:val="-4"/>
          <w:sz w:val="28"/>
          <w:szCs w:val="28"/>
        </w:rPr>
        <w:t xml:space="preserve">), вся задолженность текущая и погашена в 1 квартале 2019 года; </w:t>
      </w:r>
    </w:p>
    <w:p w:rsidR="00A14AAB" w:rsidRDefault="00A14AAB" w:rsidP="00A14AA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AC382F">
        <w:rPr>
          <w:spacing w:val="-4"/>
          <w:sz w:val="28"/>
          <w:szCs w:val="28"/>
        </w:rPr>
        <w:t xml:space="preserve">МУП «Липецкводоканал» с 9,3 до 18,0 млн. рублей (↑ на 8,7 млн. рублей или на 94%), задолженность по налогам </w:t>
      </w:r>
      <w:r w:rsidR="00F71323">
        <w:rPr>
          <w:spacing w:val="-4"/>
          <w:sz w:val="28"/>
          <w:szCs w:val="28"/>
        </w:rPr>
        <w:t xml:space="preserve">и </w:t>
      </w:r>
      <w:r w:rsidRPr="00AC382F">
        <w:rPr>
          <w:spacing w:val="-4"/>
          <w:sz w:val="28"/>
          <w:szCs w:val="28"/>
        </w:rPr>
        <w:t>сборам составляет 17</w:t>
      </w:r>
      <w:r w:rsidR="00CC62E2">
        <w:rPr>
          <w:spacing w:val="-4"/>
          <w:sz w:val="28"/>
          <w:szCs w:val="28"/>
        </w:rPr>
        <w:t>,0</w:t>
      </w:r>
      <w:r w:rsidRPr="00AC382F">
        <w:rPr>
          <w:spacing w:val="-4"/>
          <w:sz w:val="28"/>
          <w:szCs w:val="28"/>
        </w:rPr>
        <w:t xml:space="preserve"> млн. рублей. Вся задолженность носит текущий характер и погашается своевременно в соответствии с установленными сроками оплаты;</w:t>
      </w:r>
    </w:p>
    <w:p w:rsidR="001F71FC" w:rsidRPr="00926C41" w:rsidRDefault="003C77B5" w:rsidP="00EF712A">
      <w:pPr>
        <w:pStyle w:val="af1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926C41">
        <w:rPr>
          <w:spacing w:val="-4"/>
          <w:sz w:val="28"/>
          <w:szCs w:val="28"/>
        </w:rPr>
        <w:t>МУП Банно-прачечного хозяйства г. Липецка с 15,9 до 19,0 млн. рублей (↑ на 3,1 млн. рублей или на 19%)</w:t>
      </w:r>
      <w:r w:rsidR="00EF3ECE" w:rsidRPr="00926C41">
        <w:rPr>
          <w:spacing w:val="-4"/>
          <w:sz w:val="28"/>
          <w:szCs w:val="28"/>
        </w:rPr>
        <w:t>.</w:t>
      </w:r>
      <w:r w:rsidR="00C03733" w:rsidRPr="00926C41">
        <w:rPr>
          <w:spacing w:val="-4"/>
          <w:sz w:val="28"/>
          <w:szCs w:val="28"/>
        </w:rPr>
        <w:t xml:space="preserve"> </w:t>
      </w:r>
      <w:proofErr w:type="gramStart"/>
      <w:r w:rsidRPr="00926C41">
        <w:rPr>
          <w:spacing w:val="-4"/>
          <w:sz w:val="28"/>
          <w:szCs w:val="28"/>
        </w:rPr>
        <w:t>Текущая</w:t>
      </w:r>
      <w:proofErr w:type="gramEnd"/>
      <w:r w:rsidRPr="00926C41">
        <w:rPr>
          <w:spacing w:val="-4"/>
          <w:sz w:val="28"/>
          <w:szCs w:val="28"/>
        </w:rPr>
        <w:t xml:space="preserve"> задолженность </w:t>
      </w:r>
      <w:r w:rsidR="00F71323" w:rsidRPr="00926C41">
        <w:rPr>
          <w:spacing w:val="-4"/>
          <w:sz w:val="28"/>
          <w:szCs w:val="28"/>
        </w:rPr>
        <w:t xml:space="preserve">в сумме </w:t>
      </w:r>
      <w:r w:rsidR="00BD3D15" w:rsidRPr="00926C41">
        <w:rPr>
          <w:spacing w:val="-4"/>
          <w:sz w:val="28"/>
          <w:szCs w:val="28"/>
        </w:rPr>
        <w:t>1,0 млн. рублей</w:t>
      </w:r>
      <w:r w:rsidRPr="00926C41">
        <w:rPr>
          <w:spacing w:val="-4"/>
          <w:sz w:val="28"/>
          <w:szCs w:val="28"/>
        </w:rPr>
        <w:t xml:space="preserve"> погашена в соответствии с установленными сроками оплаты</w:t>
      </w:r>
      <w:r w:rsidR="001F71FC" w:rsidRPr="00926C41">
        <w:rPr>
          <w:spacing w:val="-4"/>
          <w:sz w:val="28"/>
          <w:szCs w:val="28"/>
        </w:rPr>
        <w:t>.</w:t>
      </w:r>
      <w:r w:rsidR="00EF712A">
        <w:rPr>
          <w:spacing w:val="-4"/>
          <w:sz w:val="28"/>
          <w:szCs w:val="28"/>
        </w:rPr>
        <w:t xml:space="preserve"> </w:t>
      </w:r>
      <w:r w:rsidR="00EF712A" w:rsidRPr="00EF712A">
        <w:rPr>
          <w:spacing w:val="-4"/>
          <w:sz w:val="28"/>
          <w:szCs w:val="28"/>
        </w:rPr>
        <w:t>18 млн. рублей - за тепловую энергию и водоснабжение перед АО «ЛГЭК», которая 01.07.2018 по договору уступки прав требования (цессии) передана МУП «Липецкводоканал».</w:t>
      </w:r>
    </w:p>
    <w:p w:rsidR="001750A0" w:rsidRDefault="001750A0" w:rsidP="001F71FC">
      <w:pPr>
        <w:widowControl w:val="0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1F71FC">
        <w:rPr>
          <w:sz w:val="28"/>
          <w:szCs w:val="28"/>
        </w:rPr>
        <w:t>С</w:t>
      </w:r>
      <w:r w:rsidRPr="001F71FC">
        <w:rPr>
          <w:spacing w:val="-4"/>
          <w:sz w:val="28"/>
          <w:szCs w:val="28"/>
        </w:rPr>
        <w:t>окра</w:t>
      </w:r>
      <w:r w:rsidR="00D34D22" w:rsidRPr="001F71FC">
        <w:rPr>
          <w:spacing w:val="-4"/>
          <w:sz w:val="28"/>
          <w:szCs w:val="28"/>
        </w:rPr>
        <w:t xml:space="preserve">тили свои текущие обязательства </w:t>
      </w:r>
      <w:r w:rsidR="00950D7A" w:rsidRPr="001F71FC">
        <w:rPr>
          <w:spacing w:val="-4"/>
          <w:sz w:val="28"/>
          <w:szCs w:val="28"/>
        </w:rPr>
        <w:t>МУ</w:t>
      </w:r>
      <w:r w:rsidR="00717967" w:rsidRPr="001F71FC">
        <w:rPr>
          <w:spacing w:val="-4"/>
          <w:sz w:val="28"/>
          <w:szCs w:val="28"/>
        </w:rPr>
        <w:t>П</w:t>
      </w:r>
      <w:r w:rsidR="00950D7A" w:rsidRPr="001F71FC">
        <w:rPr>
          <w:spacing w:val="-4"/>
          <w:sz w:val="28"/>
          <w:szCs w:val="28"/>
        </w:rPr>
        <w:t xml:space="preserve"> </w:t>
      </w:r>
      <w:r w:rsidR="00717967" w:rsidRPr="001F71FC">
        <w:rPr>
          <w:spacing w:val="-4"/>
          <w:sz w:val="28"/>
          <w:szCs w:val="28"/>
        </w:rPr>
        <w:t>«АДС городского хозяйства»</w:t>
      </w:r>
      <w:r w:rsidR="00E27057">
        <w:rPr>
          <w:spacing w:val="-4"/>
          <w:sz w:val="28"/>
          <w:szCs w:val="28"/>
        </w:rPr>
        <w:t xml:space="preserve"> (↓ </w:t>
      </w:r>
      <w:r w:rsidR="00950D7A" w:rsidRPr="001F71FC">
        <w:rPr>
          <w:spacing w:val="-4"/>
          <w:sz w:val="28"/>
          <w:szCs w:val="28"/>
        </w:rPr>
        <w:t xml:space="preserve">на </w:t>
      </w:r>
      <w:r w:rsidR="00717967" w:rsidRPr="001F71FC">
        <w:rPr>
          <w:spacing w:val="-4"/>
          <w:sz w:val="28"/>
          <w:szCs w:val="28"/>
        </w:rPr>
        <w:t>2</w:t>
      </w:r>
      <w:r w:rsidR="00950D7A" w:rsidRPr="001F71FC">
        <w:rPr>
          <w:spacing w:val="-4"/>
          <w:sz w:val="28"/>
          <w:szCs w:val="28"/>
        </w:rPr>
        <w:t xml:space="preserve"> млн. рублей), </w:t>
      </w:r>
      <w:r w:rsidRPr="001F71FC">
        <w:rPr>
          <w:spacing w:val="-4"/>
          <w:sz w:val="28"/>
          <w:szCs w:val="28"/>
        </w:rPr>
        <w:t>МУП «ЛиСА»</w:t>
      </w:r>
      <w:r w:rsidRPr="00717967">
        <w:t xml:space="preserve"> </w:t>
      </w:r>
      <w:r w:rsidRPr="001F71FC">
        <w:rPr>
          <w:spacing w:val="-4"/>
          <w:sz w:val="28"/>
          <w:szCs w:val="28"/>
        </w:rPr>
        <w:t xml:space="preserve">(↓ </w:t>
      </w:r>
      <w:r w:rsidR="00946620" w:rsidRPr="001F71FC">
        <w:rPr>
          <w:spacing w:val="-4"/>
          <w:sz w:val="28"/>
          <w:szCs w:val="28"/>
        </w:rPr>
        <w:t xml:space="preserve">на </w:t>
      </w:r>
      <w:r w:rsidR="003D1811" w:rsidRPr="001F71FC">
        <w:rPr>
          <w:spacing w:val="-4"/>
          <w:sz w:val="28"/>
          <w:szCs w:val="28"/>
        </w:rPr>
        <w:t>9,</w:t>
      </w:r>
      <w:r w:rsidR="00717967" w:rsidRPr="001F71FC">
        <w:rPr>
          <w:spacing w:val="-4"/>
          <w:sz w:val="28"/>
          <w:szCs w:val="28"/>
        </w:rPr>
        <w:t>6</w:t>
      </w:r>
      <w:r w:rsidRPr="001F71FC">
        <w:rPr>
          <w:spacing w:val="-4"/>
          <w:sz w:val="28"/>
          <w:szCs w:val="28"/>
        </w:rPr>
        <w:t xml:space="preserve"> млн. рублей), </w:t>
      </w:r>
      <w:r w:rsidR="005F5A26">
        <w:rPr>
          <w:spacing w:val="-4"/>
          <w:sz w:val="28"/>
          <w:szCs w:val="28"/>
        </w:rPr>
        <w:t>МУП «Зеленхоз» г. </w:t>
      </w:r>
      <w:r w:rsidR="00717967" w:rsidRPr="001F71FC">
        <w:rPr>
          <w:spacing w:val="-4"/>
          <w:sz w:val="28"/>
          <w:szCs w:val="28"/>
        </w:rPr>
        <w:t xml:space="preserve">Липецка </w:t>
      </w:r>
      <w:r w:rsidR="005C02BF" w:rsidRPr="001F71FC">
        <w:rPr>
          <w:spacing w:val="-4"/>
          <w:sz w:val="28"/>
          <w:szCs w:val="28"/>
        </w:rPr>
        <w:t>(</w:t>
      </w:r>
      <w:r w:rsidR="005C02BF" w:rsidRPr="00717967">
        <w:sym w:font="Symbol" w:char="F0AF"/>
      </w:r>
      <w:r w:rsidR="005C02BF" w:rsidRPr="001F71FC">
        <w:rPr>
          <w:spacing w:val="-4"/>
          <w:sz w:val="28"/>
          <w:szCs w:val="28"/>
        </w:rPr>
        <w:t xml:space="preserve"> на </w:t>
      </w:r>
      <w:r w:rsidR="00717967" w:rsidRPr="001F71FC">
        <w:rPr>
          <w:spacing w:val="-4"/>
          <w:sz w:val="28"/>
          <w:szCs w:val="28"/>
        </w:rPr>
        <w:t>3</w:t>
      </w:r>
      <w:r w:rsidR="005C02BF" w:rsidRPr="001F71FC">
        <w:rPr>
          <w:spacing w:val="-4"/>
          <w:sz w:val="28"/>
          <w:szCs w:val="28"/>
        </w:rPr>
        <w:t>,</w:t>
      </w:r>
      <w:r w:rsidR="00717967" w:rsidRPr="001F71FC">
        <w:rPr>
          <w:spacing w:val="-4"/>
          <w:sz w:val="28"/>
          <w:szCs w:val="28"/>
        </w:rPr>
        <w:t>5</w:t>
      </w:r>
      <w:r w:rsidR="005C02BF" w:rsidRPr="001F71FC">
        <w:rPr>
          <w:spacing w:val="-4"/>
          <w:sz w:val="28"/>
          <w:szCs w:val="28"/>
        </w:rPr>
        <w:t xml:space="preserve"> млн. рублей)</w:t>
      </w:r>
      <w:r w:rsidR="00717967" w:rsidRPr="001F71FC">
        <w:rPr>
          <w:spacing w:val="-4"/>
          <w:sz w:val="28"/>
          <w:szCs w:val="28"/>
        </w:rPr>
        <w:t>.</w:t>
      </w:r>
    </w:p>
    <w:p w:rsidR="00281F26" w:rsidRDefault="00281F26" w:rsidP="001F71FC">
      <w:pPr>
        <w:widowControl w:val="0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281F26">
        <w:rPr>
          <w:spacing w:val="-4"/>
          <w:sz w:val="28"/>
          <w:szCs w:val="28"/>
        </w:rPr>
        <w:t xml:space="preserve">По состоянию на 01.01.2019 в МУП «Второе ГЖУ» числится общая сумма кредиторской задолженности 64,1 млн. рублей, </w:t>
      </w:r>
      <w:r w:rsidR="005F5A26">
        <w:rPr>
          <w:spacing w:val="-4"/>
          <w:sz w:val="28"/>
          <w:szCs w:val="28"/>
        </w:rPr>
        <w:t>в том числе</w:t>
      </w:r>
      <w:r w:rsidRPr="00281F26">
        <w:rPr>
          <w:spacing w:val="-4"/>
          <w:sz w:val="28"/>
          <w:szCs w:val="28"/>
        </w:rPr>
        <w:t xml:space="preserve"> задолженност</w:t>
      </w:r>
      <w:r w:rsidR="005F5A26">
        <w:rPr>
          <w:spacing w:val="-4"/>
          <w:sz w:val="28"/>
          <w:szCs w:val="28"/>
        </w:rPr>
        <w:t>ь</w:t>
      </w:r>
      <w:r w:rsidRPr="00281F26">
        <w:rPr>
          <w:spacing w:val="-4"/>
          <w:sz w:val="28"/>
          <w:szCs w:val="28"/>
        </w:rPr>
        <w:t xml:space="preserve"> по текущим обязательствам – 11,3 млн. рублей; требовани</w:t>
      </w:r>
      <w:r w:rsidR="005F5A26">
        <w:rPr>
          <w:spacing w:val="-4"/>
          <w:sz w:val="28"/>
          <w:szCs w:val="28"/>
        </w:rPr>
        <w:t>я</w:t>
      </w:r>
      <w:r w:rsidRPr="00281F26">
        <w:rPr>
          <w:spacing w:val="-4"/>
          <w:sz w:val="28"/>
          <w:szCs w:val="28"/>
        </w:rPr>
        <w:t xml:space="preserve"> кредиторов – 52,8 млн. рублей (</w:t>
      </w:r>
      <w:r w:rsidR="005F5A26">
        <w:rPr>
          <w:spacing w:val="-4"/>
          <w:sz w:val="28"/>
          <w:szCs w:val="28"/>
        </w:rPr>
        <w:t>Определения</w:t>
      </w:r>
      <w:r w:rsidRPr="00281F26">
        <w:rPr>
          <w:spacing w:val="-4"/>
          <w:sz w:val="28"/>
          <w:szCs w:val="28"/>
        </w:rPr>
        <w:t xml:space="preserve"> Арбитражного суда Липецкой области).</w:t>
      </w:r>
    </w:p>
    <w:p w:rsidR="00D418DC" w:rsidRDefault="0093609C" w:rsidP="00D418DC">
      <w:pPr>
        <w:widowControl w:val="0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Высокое значение к</w:t>
      </w:r>
      <w:r w:rsidR="00B71C78">
        <w:rPr>
          <w:spacing w:val="-4"/>
          <w:sz w:val="28"/>
          <w:szCs w:val="28"/>
        </w:rPr>
        <w:t>редиторск</w:t>
      </w:r>
      <w:r>
        <w:rPr>
          <w:spacing w:val="-4"/>
          <w:sz w:val="28"/>
          <w:szCs w:val="28"/>
        </w:rPr>
        <w:t>ой</w:t>
      </w:r>
      <w:r w:rsidR="00B71C78">
        <w:rPr>
          <w:spacing w:val="-4"/>
          <w:sz w:val="28"/>
          <w:szCs w:val="28"/>
        </w:rPr>
        <w:t xml:space="preserve"> задолженност</w:t>
      </w:r>
      <w:r>
        <w:rPr>
          <w:spacing w:val="-4"/>
          <w:sz w:val="28"/>
          <w:szCs w:val="28"/>
        </w:rPr>
        <w:t>и</w:t>
      </w:r>
      <w:r w:rsidR="00B71C7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наблюдается в </w:t>
      </w:r>
      <w:r w:rsidR="00B71C78">
        <w:rPr>
          <w:spacing w:val="-4"/>
          <w:sz w:val="28"/>
          <w:szCs w:val="28"/>
        </w:rPr>
        <w:t xml:space="preserve">МУП «Липецкпассажиртранс» </w:t>
      </w:r>
      <w:r w:rsidR="00AE172C" w:rsidRPr="00281F26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133,5 </w:t>
      </w:r>
      <w:r w:rsidRPr="0093609C">
        <w:rPr>
          <w:spacing w:val="-4"/>
          <w:sz w:val="28"/>
          <w:szCs w:val="28"/>
        </w:rPr>
        <w:t>млн. рублей</w:t>
      </w:r>
      <w:r w:rsidR="00AE172C">
        <w:rPr>
          <w:spacing w:val="-4"/>
          <w:sz w:val="28"/>
          <w:szCs w:val="28"/>
        </w:rPr>
        <w:t xml:space="preserve">, основная </w:t>
      </w:r>
      <w:proofErr w:type="gramStart"/>
      <w:r w:rsidR="00AE172C">
        <w:rPr>
          <w:spacing w:val="-4"/>
          <w:sz w:val="28"/>
          <w:szCs w:val="28"/>
        </w:rPr>
        <w:t>доля</w:t>
      </w:r>
      <w:proofErr w:type="gramEnd"/>
      <w:r w:rsidR="00AE172C">
        <w:rPr>
          <w:spacing w:val="-4"/>
          <w:sz w:val="28"/>
          <w:szCs w:val="28"/>
        </w:rPr>
        <w:t xml:space="preserve"> которой приходится на </w:t>
      </w:r>
      <w:r w:rsidR="00AE172C">
        <w:rPr>
          <w:spacing w:val="-4"/>
          <w:sz w:val="28"/>
          <w:szCs w:val="28"/>
        </w:rPr>
        <w:lastRenderedPageBreak/>
        <w:t xml:space="preserve">задолженность перед поставщиками и подрядчиками – 38,6% (51,6 млн. рублей), перед прочими кредиторами – 36,9% </w:t>
      </w:r>
      <w:r w:rsidR="00AE172C" w:rsidRPr="00AE172C">
        <w:rPr>
          <w:spacing w:val="-4"/>
          <w:sz w:val="28"/>
          <w:szCs w:val="28"/>
        </w:rPr>
        <w:t>(</w:t>
      </w:r>
      <w:r w:rsidR="00AE172C">
        <w:rPr>
          <w:spacing w:val="-4"/>
          <w:sz w:val="28"/>
          <w:szCs w:val="28"/>
        </w:rPr>
        <w:t xml:space="preserve">49,3 </w:t>
      </w:r>
      <w:r w:rsidR="00AE172C" w:rsidRPr="00AE172C">
        <w:rPr>
          <w:spacing w:val="-4"/>
          <w:sz w:val="28"/>
          <w:szCs w:val="28"/>
        </w:rPr>
        <w:t>млн. рублей)</w:t>
      </w:r>
      <w:r w:rsidR="00AE172C">
        <w:rPr>
          <w:spacing w:val="-4"/>
          <w:sz w:val="28"/>
          <w:szCs w:val="28"/>
        </w:rPr>
        <w:t>.</w:t>
      </w:r>
      <w:r w:rsidR="00D418DC">
        <w:rPr>
          <w:spacing w:val="-4"/>
          <w:sz w:val="28"/>
          <w:szCs w:val="28"/>
        </w:rPr>
        <w:t xml:space="preserve"> Основным кредитор</w:t>
      </w:r>
      <w:r w:rsidR="00365FC0">
        <w:rPr>
          <w:spacing w:val="-4"/>
          <w:sz w:val="28"/>
          <w:szCs w:val="28"/>
        </w:rPr>
        <w:t>ом</w:t>
      </w:r>
      <w:r w:rsidR="00D418DC">
        <w:rPr>
          <w:spacing w:val="-4"/>
          <w:sz w:val="28"/>
          <w:szCs w:val="28"/>
        </w:rPr>
        <w:t xml:space="preserve"> </w:t>
      </w:r>
      <w:r w:rsidR="00D418DC" w:rsidRPr="00365FC0">
        <w:rPr>
          <w:spacing w:val="-4"/>
          <w:sz w:val="28"/>
          <w:szCs w:val="28"/>
        </w:rPr>
        <w:t>явля</w:t>
      </w:r>
      <w:r w:rsidR="00365FC0">
        <w:rPr>
          <w:spacing w:val="-4"/>
          <w:sz w:val="28"/>
          <w:szCs w:val="28"/>
        </w:rPr>
        <w:t>е</w:t>
      </w:r>
      <w:r w:rsidR="00D418DC" w:rsidRPr="00365FC0">
        <w:rPr>
          <w:spacing w:val="-4"/>
          <w:sz w:val="28"/>
          <w:szCs w:val="28"/>
        </w:rPr>
        <w:t xml:space="preserve">тся ООО «РН-Карт» </w:t>
      </w:r>
      <w:r w:rsidR="005F4A32" w:rsidRPr="00365FC0">
        <w:rPr>
          <w:spacing w:val="-4"/>
          <w:sz w:val="28"/>
          <w:szCs w:val="28"/>
        </w:rPr>
        <w:t>-</w:t>
      </w:r>
      <w:r w:rsidR="005F4A32">
        <w:rPr>
          <w:spacing w:val="-4"/>
          <w:sz w:val="28"/>
          <w:szCs w:val="28"/>
        </w:rPr>
        <w:t xml:space="preserve"> </w:t>
      </w:r>
      <w:r w:rsidR="00365FC0">
        <w:rPr>
          <w:spacing w:val="-4"/>
          <w:sz w:val="28"/>
          <w:szCs w:val="28"/>
        </w:rPr>
        <w:t>36,6 млн. рублей за поставку топлива и 14,5</w:t>
      </w:r>
      <w:r w:rsidR="00365FC0" w:rsidRPr="00365FC0">
        <w:t xml:space="preserve"> </w:t>
      </w:r>
      <w:r w:rsidR="00365FC0" w:rsidRPr="00365FC0">
        <w:rPr>
          <w:spacing w:val="-4"/>
          <w:sz w:val="28"/>
          <w:szCs w:val="28"/>
        </w:rPr>
        <w:t>млн. рублей</w:t>
      </w:r>
      <w:r w:rsidR="00365FC0">
        <w:rPr>
          <w:spacing w:val="-4"/>
          <w:sz w:val="28"/>
          <w:szCs w:val="28"/>
        </w:rPr>
        <w:t xml:space="preserve"> – обеспечение контракта</w:t>
      </w:r>
      <w:r w:rsidR="00D418DC">
        <w:rPr>
          <w:spacing w:val="-4"/>
          <w:sz w:val="28"/>
          <w:szCs w:val="28"/>
        </w:rPr>
        <w:t>.</w:t>
      </w:r>
    </w:p>
    <w:p w:rsidR="00627F73" w:rsidRPr="00FD7D97" w:rsidRDefault="00B373B3" w:rsidP="00B63C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7D97">
        <w:rPr>
          <w:sz w:val="28"/>
          <w:szCs w:val="28"/>
        </w:rPr>
        <w:t xml:space="preserve">По результатам мониторинга </w:t>
      </w:r>
      <w:proofErr w:type="gramStart"/>
      <w:r w:rsidR="007A1512" w:rsidRPr="00FD7D97">
        <w:rPr>
          <w:sz w:val="28"/>
          <w:szCs w:val="28"/>
        </w:rPr>
        <w:t>суммированн</w:t>
      </w:r>
      <w:r w:rsidR="009E29A6" w:rsidRPr="00FD7D97">
        <w:rPr>
          <w:sz w:val="28"/>
          <w:szCs w:val="28"/>
        </w:rPr>
        <w:t>ая</w:t>
      </w:r>
      <w:proofErr w:type="gramEnd"/>
      <w:r w:rsidR="007A1512" w:rsidRPr="00FD7D97">
        <w:rPr>
          <w:sz w:val="28"/>
          <w:szCs w:val="28"/>
        </w:rPr>
        <w:t xml:space="preserve"> по всем МУП</w:t>
      </w:r>
      <w:r w:rsidR="00A9535D" w:rsidRPr="00FD7D97">
        <w:rPr>
          <w:sz w:val="28"/>
          <w:szCs w:val="28"/>
        </w:rPr>
        <w:t xml:space="preserve"> </w:t>
      </w:r>
      <w:r w:rsidR="007D35EE" w:rsidRPr="00FD7D97">
        <w:rPr>
          <w:sz w:val="28"/>
          <w:szCs w:val="28"/>
        </w:rPr>
        <w:t>просроченн</w:t>
      </w:r>
      <w:r w:rsidR="009E29A6" w:rsidRPr="00FD7D97">
        <w:rPr>
          <w:sz w:val="28"/>
          <w:szCs w:val="28"/>
        </w:rPr>
        <w:t>ая</w:t>
      </w:r>
      <w:r w:rsidR="007D35EE" w:rsidRPr="00FD7D97">
        <w:rPr>
          <w:sz w:val="28"/>
          <w:szCs w:val="28"/>
        </w:rPr>
        <w:t xml:space="preserve"> кредиторск</w:t>
      </w:r>
      <w:r w:rsidR="009E29A6" w:rsidRPr="00FD7D97">
        <w:rPr>
          <w:sz w:val="28"/>
          <w:szCs w:val="28"/>
        </w:rPr>
        <w:t>ая</w:t>
      </w:r>
      <w:r w:rsidR="007D35EE" w:rsidRPr="00FD7D97">
        <w:rPr>
          <w:sz w:val="28"/>
          <w:szCs w:val="28"/>
        </w:rPr>
        <w:t xml:space="preserve"> задолженност</w:t>
      </w:r>
      <w:r w:rsidR="009E29A6" w:rsidRPr="00FD7D97">
        <w:rPr>
          <w:sz w:val="28"/>
          <w:szCs w:val="28"/>
        </w:rPr>
        <w:t>ь</w:t>
      </w:r>
      <w:r w:rsidR="002A3C33" w:rsidRPr="00FD7D97">
        <w:rPr>
          <w:sz w:val="28"/>
          <w:szCs w:val="28"/>
        </w:rPr>
        <w:t xml:space="preserve"> </w:t>
      </w:r>
      <w:r w:rsidR="001F5410" w:rsidRPr="00FD7D97">
        <w:rPr>
          <w:sz w:val="28"/>
          <w:szCs w:val="28"/>
        </w:rPr>
        <w:t>составила</w:t>
      </w:r>
      <w:r w:rsidR="002E34A8" w:rsidRPr="00FD7D97">
        <w:rPr>
          <w:sz w:val="28"/>
          <w:szCs w:val="28"/>
        </w:rPr>
        <w:t xml:space="preserve"> </w:t>
      </w:r>
      <w:r w:rsidR="00984C71" w:rsidRPr="00FD7D97">
        <w:rPr>
          <w:sz w:val="28"/>
          <w:szCs w:val="28"/>
        </w:rPr>
        <w:t>1</w:t>
      </w:r>
      <w:r w:rsidR="002E7E10" w:rsidRPr="00FD7D97">
        <w:rPr>
          <w:sz w:val="28"/>
          <w:szCs w:val="28"/>
        </w:rPr>
        <w:t>2</w:t>
      </w:r>
      <w:r w:rsidR="00984C71" w:rsidRPr="00FD7D97">
        <w:rPr>
          <w:sz w:val="28"/>
          <w:szCs w:val="28"/>
        </w:rPr>
        <w:t>5</w:t>
      </w:r>
      <w:r w:rsidR="00634990" w:rsidRPr="00FD7D97">
        <w:rPr>
          <w:sz w:val="28"/>
          <w:szCs w:val="28"/>
        </w:rPr>
        <w:t>,1</w:t>
      </w:r>
      <w:r w:rsidR="002E34A8" w:rsidRPr="00FD7D97">
        <w:rPr>
          <w:sz w:val="28"/>
          <w:szCs w:val="28"/>
        </w:rPr>
        <w:t xml:space="preserve"> млн. рублей</w:t>
      </w:r>
      <w:r w:rsidR="007D35EE" w:rsidRPr="00FD7D97">
        <w:rPr>
          <w:sz w:val="28"/>
          <w:szCs w:val="28"/>
        </w:rPr>
        <w:t xml:space="preserve"> </w:t>
      </w:r>
      <w:r w:rsidR="003552C0" w:rsidRPr="00FD7D97">
        <w:rPr>
          <w:sz w:val="28"/>
          <w:szCs w:val="28"/>
        </w:rPr>
        <w:t xml:space="preserve">или </w:t>
      </w:r>
      <w:r w:rsidR="002E7E10" w:rsidRPr="00FD7D97">
        <w:rPr>
          <w:sz w:val="28"/>
          <w:szCs w:val="28"/>
        </w:rPr>
        <w:t>27</w:t>
      </w:r>
      <w:r w:rsidR="00D61018" w:rsidRPr="00FD7D97">
        <w:rPr>
          <w:sz w:val="28"/>
          <w:szCs w:val="28"/>
        </w:rPr>
        <w:t>,4</w:t>
      </w:r>
      <w:r w:rsidR="001A655D" w:rsidRPr="00FD7D97">
        <w:rPr>
          <w:sz w:val="28"/>
          <w:szCs w:val="28"/>
        </w:rPr>
        <w:t>%</w:t>
      </w:r>
      <w:r w:rsidR="001F5410" w:rsidRPr="00FD7D97">
        <w:rPr>
          <w:sz w:val="28"/>
          <w:szCs w:val="28"/>
        </w:rPr>
        <w:t xml:space="preserve"> от общего объема</w:t>
      </w:r>
      <w:r w:rsidR="00A9535D" w:rsidRPr="00FD7D97">
        <w:rPr>
          <w:sz w:val="28"/>
          <w:szCs w:val="28"/>
        </w:rPr>
        <w:t xml:space="preserve"> задолженности</w:t>
      </w:r>
      <w:r w:rsidR="003D35BC" w:rsidRPr="00FD7D97">
        <w:rPr>
          <w:sz w:val="28"/>
          <w:szCs w:val="28"/>
        </w:rPr>
        <w:t>.</w:t>
      </w:r>
    </w:p>
    <w:p w:rsidR="00D61018" w:rsidRPr="00FD7D97" w:rsidRDefault="002D1D16" w:rsidP="00B63C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7D97">
        <w:rPr>
          <w:sz w:val="28"/>
          <w:szCs w:val="28"/>
        </w:rPr>
        <w:t xml:space="preserve">Основная доля просроченной </w:t>
      </w:r>
      <w:proofErr w:type="gramStart"/>
      <w:r w:rsidRPr="00FD7D97">
        <w:rPr>
          <w:sz w:val="28"/>
          <w:szCs w:val="28"/>
        </w:rPr>
        <w:t>кредиторс</w:t>
      </w:r>
      <w:r w:rsidR="00974029" w:rsidRPr="00FD7D97">
        <w:rPr>
          <w:sz w:val="28"/>
          <w:szCs w:val="28"/>
        </w:rPr>
        <w:t>кой</w:t>
      </w:r>
      <w:proofErr w:type="gramEnd"/>
      <w:r w:rsidR="00974029" w:rsidRPr="00FD7D97">
        <w:rPr>
          <w:sz w:val="28"/>
          <w:szCs w:val="28"/>
        </w:rPr>
        <w:t xml:space="preserve"> задолженности приходится на МУП «АДС городского хозяйства» г. Липецка</w:t>
      </w:r>
      <w:r w:rsidRPr="00FD7D97">
        <w:rPr>
          <w:sz w:val="28"/>
          <w:szCs w:val="28"/>
        </w:rPr>
        <w:t xml:space="preserve"> и составляет </w:t>
      </w:r>
      <w:r w:rsidR="00634990" w:rsidRPr="00FD7D97">
        <w:rPr>
          <w:sz w:val="28"/>
          <w:szCs w:val="28"/>
        </w:rPr>
        <w:t>41</w:t>
      </w:r>
      <w:r w:rsidRPr="00FD7D97">
        <w:rPr>
          <w:sz w:val="28"/>
          <w:szCs w:val="28"/>
        </w:rPr>
        <w:t xml:space="preserve">% </w:t>
      </w:r>
      <w:r w:rsidR="00A90890" w:rsidRPr="00FD7D97">
        <w:rPr>
          <w:sz w:val="28"/>
          <w:szCs w:val="28"/>
        </w:rPr>
        <w:t>(</w:t>
      </w:r>
      <w:r w:rsidR="00974029" w:rsidRPr="00FD7D97">
        <w:rPr>
          <w:sz w:val="28"/>
          <w:szCs w:val="28"/>
        </w:rPr>
        <w:t>5</w:t>
      </w:r>
      <w:r w:rsidR="00A23718" w:rsidRPr="00FD7D97">
        <w:rPr>
          <w:sz w:val="28"/>
          <w:szCs w:val="28"/>
        </w:rPr>
        <w:t>1</w:t>
      </w:r>
      <w:r w:rsidRPr="00FD7D97">
        <w:rPr>
          <w:sz w:val="28"/>
          <w:szCs w:val="28"/>
        </w:rPr>
        <w:t>,</w:t>
      </w:r>
      <w:r w:rsidR="00A23718" w:rsidRPr="00FD7D97">
        <w:rPr>
          <w:sz w:val="28"/>
          <w:szCs w:val="28"/>
        </w:rPr>
        <w:t>2</w:t>
      </w:r>
      <w:r w:rsidRPr="00FD7D97">
        <w:rPr>
          <w:sz w:val="28"/>
          <w:szCs w:val="28"/>
        </w:rPr>
        <w:t xml:space="preserve"> млн. рублей</w:t>
      </w:r>
      <w:r w:rsidR="00A90890" w:rsidRPr="00FD7D97">
        <w:rPr>
          <w:sz w:val="28"/>
          <w:szCs w:val="28"/>
        </w:rPr>
        <w:t>)</w:t>
      </w:r>
      <w:r w:rsidR="00CC62E2" w:rsidRPr="00FD7D97">
        <w:rPr>
          <w:sz w:val="28"/>
          <w:szCs w:val="28"/>
        </w:rPr>
        <w:t xml:space="preserve">, из которой </w:t>
      </w:r>
      <w:r w:rsidR="00D61018" w:rsidRPr="00FD7D97">
        <w:rPr>
          <w:sz w:val="28"/>
          <w:szCs w:val="28"/>
        </w:rPr>
        <w:t xml:space="preserve">задолженность по налогам и сборам </w:t>
      </w:r>
      <w:r w:rsidR="000F2983" w:rsidRPr="00FD7D97">
        <w:rPr>
          <w:sz w:val="28"/>
          <w:szCs w:val="28"/>
        </w:rPr>
        <w:t>составляет</w:t>
      </w:r>
      <w:r w:rsidR="00D61018" w:rsidRPr="00FD7D97">
        <w:rPr>
          <w:sz w:val="28"/>
          <w:szCs w:val="28"/>
        </w:rPr>
        <w:t xml:space="preserve"> 53,2% (27,3 млн. рублей), перед государственными внебюджетными фондами – 27,6% (14,1 млн. рублей)</w:t>
      </w:r>
      <w:r w:rsidR="00974029" w:rsidRPr="00FD7D97">
        <w:rPr>
          <w:sz w:val="28"/>
          <w:szCs w:val="28"/>
        </w:rPr>
        <w:t>.</w:t>
      </w:r>
      <w:r w:rsidR="00A90890" w:rsidRPr="00FD7D97">
        <w:t xml:space="preserve"> </w:t>
      </w:r>
      <w:r w:rsidR="00A90890" w:rsidRPr="00FD7D97">
        <w:rPr>
          <w:sz w:val="28"/>
          <w:szCs w:val="28"/>
        </w:rPr>
        <w:t>В настоящее время в Арбитражном суде Липецкой области рассматривается иск ФНС России в лице ИФНС России по Правобережному району г. Липецка о признании МУП несостоятельным (банкротом)</w:t>
      </w:r>
      <w:r w:rsidR="00D61018" w:rsidRPr="00FD7D97">
        <w:rPr>
          <w:sz w:val="28"/>
          <w:szCs w:val="28"/>
        </w:rPr>
        <w:t>.</w:t>
      </w:r>
      <w:r w:rsidR="00883191" w:rsidRPr="00FD7D97">
        <w:rPr>
          <w:sz w:val="28"/>
          <w:szCs w:val="28"/>
        </w:rPr>
        <w:t xml:space="preserve"> </w:t>
      </w:r>
    </w:p>
    <w:p w:rsidR="00A23718" w:rsidRPr="00FD7D97" w:rsidRDefault="00A23718" w:rsidP="00B63C4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D7D97">
        <w:rPr>
          <w:sz w:val="28"/>
          <w:szCs w:val="28"/>
        </w:rPr>
        <w:t>Просроченная</w:t>
      </w:r>
      <w:proofErr w:type="gramEnd"/>
      <w:r w:rsidRPr="00FD7D97">
        <w:rPr>
          <w:sz w:val="28"/>
          <w:szCs w:val="28"/>
        </w:rPr>
        <w:t xml:space="preserve"> </w:t>
      </w:r>
      <w:r w:rsidR="00926C41" w:rsidRPr="00FD7D97">
        <w:rPr>
          <w:sz w:val="28"/>
          <w:szCs w:val="28"/>
        </w:rPr>
        <w:t xml:space="preserve">кредиторская </w:t>
      </w:r>
      <w:r w:rsidRPr="00FD7D97">
        <w:rPr>
          <w:sz w:val="28"/>
          <w:szCs w:val="28"/>
        </w:rPr>
        <w:t xml:space="preserve">задолженность МУП Банно-прачечного хозяйства г. Липецка составляет </w:t>
      </w:r>
      <w:r w:rsidR="008F76B7" w:rsidRPr="00FD7D97">
        <w:rPr>
          <w:sz w:val="28"/>
          <w:szCs w:val="28"/>
        </w:rPr>
        <w:t>14,4</w:t>
      </w:r>
      <w:r w:rsidRPr="00FD7D97">
        <w:rPr>
          <w:sz w:val="28"/>
          <w:szCs w:val="28"/>
        </w:rPr>
        <w:t>% или 18</w:t>
      </w:r>
      <w:r w:rsidR="008F76B7" w:rsidRPr="00FD7D97">
        <w:rPr>
          <w:sz w:val="28"/>
          <w:szCs w:val="28"/>
        </w:rPr>
        <w:t>,0</w:t>
      </w:r>
      <w:r w:rsidRPr="00FD7D97">
        <w:rPr>
          <w:sz w:val="28"/>
          <w:szCs w:val="28"/>
        </w:rPr>
        <w:t xml:space="preserve"> млн. рублей - за период с 2014 года за тепловую энергию и водоснабжение перед АО «ЛГЭК», которая </w:t>
      </w:r>
      <w:r w:rsidR="00926C41" w:rsidRPr="00FD7D97">
        <w:rPr>
          <w:sz w:val="28"/>
          <w:szCs w:val="28"/>
        </w:rPr>
        <w:t xml:space="preserve">01.07.2018 </w:t>
      </w:r>
      <w:r w:rsidRPr="00FD7D97">
        <w:rPr>
          <w:sz w:val="28"/>
          <w:szCs w:val="28"/>
        </w:rPr>
        <w:t>по договору уступки прав требования (цессии) передана МУП «Липецкводоканал». МУП</w:t>
      </w:r>
      <w:r w:rsidR="007C1977" w:rsidRPr="00FD7D97">
        <w:rPr>
          <w:sz w:val="28"/>
          <w:szCs w:val="28"/>
        </w:rPr>
        <w:t xml:space="preserve"> Банно-прачечного хозяйства г. Липецка</w:t>
      </w:r>
      <w:r w:rsidRPr="00FD7D97">
        <w:rPr>
          <w:sz w:val="28"/>
          <w:szCs w:val="28"/>
        </w:rPr>
        <w:t xml:space="preserve"> </w:t>
      </w:r>
      <w:r w:rsidR="00AA0694" w:rsidRPr="00FD7D97">
        <w:rPr>
          <w:sz w:val="28"/>
          <w:szCs w:val="28"/>
        </w:rPr>
        <w:t>направило в МУП «Липецкводоканал»</w:t>
      </w:r>
      <w:r w:rsidRPr="00FD7D97">
        <w:rPr>
          <w:sz w:val="28"/>
          <w:szCs w:val="28"/>
        </w:rPr>
        <w:t xml:space="preserve"> график погашения задолженности до 31.07.2033. В настоящ</w:t>
      </w:r>
      <w:r w:rsidR="00AA0694" w:rsidRPr="00FD7D97">
        <w:rPr>
          <w:sz w:val="28"/>
          <w:szCs w:val="28"/>
        </w:rPr>
        <w:t xml:space="preserve">ее время график </w:t>
      </w:r>
      <w:r w:rsidRPr="00FD7D97">
        <w:rPr>
          <w:sz w:val="28"/>
          <w:szCs w:val="28"/>
        </w:rPr>
        <w:t>не выполняется</w:t>
      </w:r>
      <w:r w:rsidR="00AA0694" w:rsidRPr="00FD7D97">
        <w:rPr>
          <w:spacing w:val="-4"/>
          <w:sz w:val="28"/>
          <w:szCs w:val="28"/>
        </w:rPr>
        <w:t xml:space="preserve"> по причине </w:t>
      </w:r>
      <w:r w:rsidR="00A83310" w:rsidRPr="00FD7D97">
        <w:rPr>
          <w:spacing w:val="-4"/>
          <w:sz w:val="28"/>
          <w:szCs w:val="28"/>
        </w:rPr>
        <w:t>отсутствия</w:t>
      </w:r>
      <w:r w:rsidR="00AA0694" w:rsidRPr="00FD7D97">
        <w:rPr>
          <w:spacing w:val="-4"/>
          <w:sz w:val="28"/>
          <w:szCs w:val="28"/>
        </w:rPr>
        <w:t xml:space="preserve"> денежных средств</w:t>
      </w:r>
      <w:r w:rsidR="00AA0694" w:rsidRPr="00FD7D97">
        <w:rPr>
          <w:sz w:val="28"/>
          <w:szCs w:val="28"/>
        </w:rPr>
        <w:t xml:space="preserve">. </w:t>
      </w:r>
    </w:p>
    <w:p w:rsidR="001079C9" w:rsidRPr="00FD7D97" w:rsidRDefault="005F65D3" w:rsidP="00C916AB">
      <w:pPr>
        <w:ind w:firstLine="709"/>
        <w:jc w:val="both"/>
        <w:rPr>
          <w:sz w:val="28"/>
          <w:szCs w:val="28"/>
        </w:rPr>
      </w:pPr>
      <w:r w:rsidRPr="00FD7D97">
        <w:rPr>
          <w:sz w:val="28"/>
          <w:szCs w:val="28"/>
        </w:rPr>
        <w:t>Числящаяся на начало 2018 года п</w:t>
      </w:r>
      <w:r w:rsidR="001079C9" w:rsidRPr="00FD7D97">
        <w:rPr>
          <w:sz w:val="28"/>
          <w:szCs w:val="28"/>
        </w:rPr>
        <w:t xml:space="preserve">росроченная кредиторская задолженность МУП «ЛиСА» в сумме </w:t>
      </w:r>
      <w:r w:rsidR="001B397A" w:rsidRPr="00FD7D97">
        <w:rPr>
          <w:sz w:val="28"/>
          <w:szCs w:val="28"/>
        </w:rPr>
        <w:t>11</w:t>
      </w:r>
      <w:r w:rsidR="00362130" w:rsidRPr="00FD7D97">
        <w:rPr>
          <w:sz w:val="28"/>
          <w:szCs w:val="28"/>
        </w:rPr>
        <w:t>,0</w:t>
      </w:r>
      <w:r w:rsidR="001079C9" w:rsidRPr="00FD7D97">
        <w:rPr>
          <w:sz w:val="28"/>
          <w:szCs w:val="28"/>
        </w:rPr>
        <w:t xml:space="preserve"> млн. рублей</w:t>
      </w:r>
      <w:r w:rsidR="002A4CD2" w:rsidRPr="00FD7D97">
        <w:rPr>
          <w:sz w:val="28"/>
          <w:szCs w:val="28"/>
        </w:rPr>
        <w:t xml:space="preserve"> </w:t>
      </w:r>
      <w:r w:rsidR="001079C9" w:rsidRPr="00FD7D97">
        <w:rPr>
          <w:sz w:val="28"/>
          <w:szCs w:val="28"/>
        </w:rPr>
        <w:t>перед ЗАО «Фирма СЭНС»</w:t>
      </w:r>
      <w:r w:rsidR="007A00E5" w:rsidRPr="00FD7D97">
        <w:rPr>
          <w:sz w:val="28"/>
          <w:szCs w:val="28"/>
        </w:rPr>
        <w:t xml:space="preserve"> </w:t>
      </w:r>
      <w:r w:rsidRPr="00FD7D97">
        <w:rPr>
          <w:sz w:val="28"/>
          <w:szCs w:val="28"/>
        </w:rPr>
        <w:t xml:space="preserve">по истечении срока исковой давности списана на финансовые результаты </w:t>
      </w:r>
      <w:r w:rsidR="001079C9" w:rsidRPr="00FD7D97">
        <w:rPr>
          <w:sz w:val="28"/>
          <w:szCs w:val="28"/>
        </w:rPr>
        <w:t xml:space="preserve">в связи с процедурой банкротства </w:t>
      </w:r>
      <w:r w:rsidRPr="00FD7D97">
        <w:rPr>
          <w:sz w:val="28"/>
          <w:szCs w:val="28"/>
        </w:rPr>
        <w:t>предприятия.</w:t>
      </w:r>
    </w:p>
    <w:p w:rsidR="00EB3CAA" w:rsidRPr="00FD7D97" w:rsidRDefault="00EB3CAA" w:rsidP="00FB6505">
      <w:pPr>
        <w:ind w:firstLine="709"/>
        <w:jc w:val="both"/>
        <w:rPr>
          <w:sz w:val="28"/>
          <w:szCs w:val="28"/>
        </w:rPr>
      </w:pPr>
      <w:r w:rsidRPr="00FD7D97">
        <w:rPr>
          <w:sz w:val="28"/>
          <w:szCs w:val="28"/>
        </w:rPr>
        <w:t xml:space="preserve">Вся задолженность МУП «РВЦЛ» в сумме 3,1 млн. рублей  является просроченной и составляет </w:t>
      </w:r>
      <w:r w:rsidR="006F7CE8" w:rsidRPr="00FD7D97">
        <w:rPr>
          <w:sz w:val="28"/>
          <w:szCs w:val="28"/>
        </w:rPr>
        <w:t>2,5</w:t>
      </w:r>
      <w:r w:rsidRPr="00FD7D97">
        <w:rPr>
          <w:sz w:val="28"/>
          <w:szCs w:val="28"/>
        </w:rPr>
        <w:t xml:space="preserve">% от просроченной задолженности всех предприятий. </w:t>
      </w:r>
      <w:r w:rsidR="00FB6505" w:rsidRPr="00FD7D97">
        <w:rPr>
          <w:sz w:val="28"/>
          <w:szCs w:val="28"/>
        </w:rPr>
        <w:t>12.03.2019 в Арбитражный суд Липецкой области обратилось ООО «УК РСУ-2» с заявлением о признании МУП несостоятельным (банкротом)</w:t>
      </w:r>
      <w:r w:rsidR="00235CA4" w:rsidRPr="00FD7D97">
        <w:rPr>
          <w:sz w:val="28"/>
          <w:szCs w:val="28"/>
        </w:rPr>
        <w:t xml:space="preserve">. </w:t>
      </w:r>
      <w:r w:rsidR="00FB6505" w:rsidRPr="00FD7D97">
        <w:rPr>
          <w:sz w:val="28"/>
          <w:szCs w:val="28"/>
        </w:rPr>
        <w:t>Определением от 12.04.2019 по делу №</w:t>
      </w:r>
      <w:r w:rsidR="00FB6505" w:rsidRPr="00FD7D97">
        <w:t xml:space="preserve"> </w:t>
      </w:r>
      <w:r w:rsidR="00FB6505" w:rsidRPr="00FD7D97">
        <w:rPr>
          <w:sz w:val="28"/>
          <w:szCs w:val="28"/>
        </w:rPr>
        <w:t>А36-2807/2019 введена процедура банкротства – наблюдение. Временным управляющим утвержден Строганов Сергей Александрович.</w:t>
      </w:r>
      <w:r w:rsidR="00B106F0" w:rsidRPr="00FD7D97">
        <w:rPr>
          <w:sz w:val="28"/>
          <w:szCs w:val="28"/>
        </w:rPr>
        <w:t xml:space="preserve"> Следующее </w:t>
      </w:r>
      <w:r w:rsidR="00D36101" w:rsidRPr="00FD7D97">
        <w:rPr>
          <w:sz w:val="28"/>
          <w:szCs w:val="28"/>
        </w:rPr>
        <w:t xml:space="preserve">судебное </w:t>
      </w:r>
      <w:r w:rsidR="00B106F0" w:rsidRPr="00FD7D97">
        <w:rPr>
          <w:sz w:val="28"/>
          <w:szCs w:val="28"/>
        </w:rPr>
        <w:t xml:space="preserve">заседание назначено на 07.10.2019. </w:t>
      </w:r>
    </w:p>
    <w:p w:rsidR="00220C8E" w:rsidRPr="00A10268" w:rsidRDefault="00220C8E" w:rsidP="00C916AB">
      <w:pPr>
        <w:ind w:firstLine="709"/>
        <w:jc w:val="both"/>
        <w:rPr>
          <w:sz w:val="28"/>
          <w:szCs w:val="28"/>
        </w:rPr>
      </w:pPr>
      <w:r w:rsidRPr="00FD7D97">
        <w:rPr>
          <w:sz w:val="28"/>
          <w:szCs w:val="28"/>
        </w:rPr>
        <w:t>С</w:t>
      </w:r>
      <w:r w:rsidR="006E0E8F" w:rsidRPr="00FD7D97">
        <w:rPr>
          <w:sz w:val="28"/>
          <w:szCs w:val="28"/>
        </w:rPr>
        <w:t>труктура кредиторской задолженности предприятий приведена без данных МУП «Второе ГЖУ»</w:t>
      </w:r>
      <w:r w:rsidRPr="00FD7D97">
        <w:rPr>
          <w:sz w:val="28"/>
          <w:szCs w:val="28"/>
        </w:rPr>
        <w:t xml:space="preserve"> и МУП «РВЦЛ» в связи с тем, что информация о задолженности предприятий представлена </w:t>
      </w:r>
      <w:r w:rsidR="00121264" w:rsidRPr="00FD7D97">
        <w:rPr>
          <w:sz w:val="28"/>
          <w:szCs w:val="28"/>
        </w:rPr>
        <w:t xml:space="preserve">Учредителем </w:t>
      </w:r>
      <w:r w:rsidR="00895A26" w:rsidRPr="00FD7D97">
        <w:rPr>
          <w:sz w:val="28"/>
          <w:szCs w:val="28"/>
        </w:rPr>
        <w:t xml:space="preserve">по состоянию </w:t>
      </w:r>
      <w:r w:rsidR="00A10268" w:rsidRPr="00FD7D97">
        <w:rPr>
          <w:sz w:val="28"/>
          <w:szCs w:val="28"/>
        </w:rPr>
        <w:t xml:space="preserve">на </w:t>
      </w:r>
      <w:r w:rsidR="00895A26" w:rsidRPr="00FD7D97">
        <w:rPr>
          <w:sz w:val="28"/>
          <w:szCs w:val="28"/>
        </w:rPr>
        <w:t>01.01.2018</w:t>
      </w:r>
      <w:r w:rsidR="00A10268" w:rsidRPr="00FD7D97">
        <w:rPr>
          <w:sz w:val="28"/>
          <w:szCs w:val="28"/>
        </w:rPr>
        <w:t xml:space="preserve"> и </w:t>
      </w:r>
      <w:r w:rsidR="00895A26" w:rsidRPr="00FD7D97">
        <w:rPr>
          <w:sz w:val="28"/>
          <w:szCs w:val="28"/>
        </w:rPr>
        <w:t>01.01.</w:t>
      </w:r>
      <w:r w:rsidR="00A10268" w:rsidRPr="00FD7D97">
        <w:rPr>
          <w:sz w:val="28"/>
          <w:szCs w:val="28"/>
        </w:rPr>
        <w:t>2019, поквартально информация не представлена.</w:t>
      </w:r>
      <w:r w:rsidR="00A10268" w:rsidRPr="00A10268">
        <w:rPr>
          <w:sz w:val="28"/>
          <w:szCs w:val="28"/>
        </w:rPr>
        <w:t xml:space="preserve"> </w:t>
      </w:r>
    </w:p>
    <w:p w:rsidR="00535B9E" w:rsidRDefault="00F10112" w:rsidP="00C916AB">
      <w:pPr>
        <w:ind w:firstLine="709"/>
        <w:jc w:val="both"/>
        <w:rPr>
          <w:sz w:val="28"/>
          <w:szCs w:val="28"/>
        </w:rPr>
      </w:pPr>
      <w:r w:rsidRPr="00517270">
        <w:rPr>
          <w:sz w:val="28"/>
          <w:szCs w:val="28"/>
        </w:rPr>
        <w:t xml:space="preserve">Структура </w:t>
      </w:r>
      <w:proofErr w:type="gramStart"/>
      <w:r w:rsidRPr="00517270">
        <w:rPr>
          <w:sz w:val="28"/>
          <w:szCs w:val="28"/>
        </w:rPr>
        <w:t>кредиторской</w:t>
      </w:r>
      <w:proofErr w:type="gramEnd"/>
      <w:r w:rsidRPr="00517270">
        <w:rPr>
          <w:sz w:val="28"/>
          <w:szCs w:val="28"/>
        </w:rPr>
        <w:t xml:space="preserve"> задолженности </w:t>
      </w:r>
      <w:r w:rsidR="007E699B" w:rsidRPr="00517270">
        <w:rPr>
          <w:sz w:val="28"/>
          <w:szCs w:val="28"/>
        </w:rPr>
        <w:t>по состоянию на 01.</w:t>
      </w:r>
      <w:r w:rsidR="00F1619F" w:rsidRPr="00517270">
        <w:rPr>
          <w:sz w:val="28"/>
          <w:szCs w:val="28"/>
        </w:rPr>
        <w:t>01</w:t>
      </w:r>
      <w:r w:rsidR="007E699B" w:rsidRPr="00517270">
        <w:rPr>
          <w:sz w:val="28"/>
          <w:szCs w:val="28"/>
        </w:rPr>
        <w:t>.201</w:t>
      </w:r>
      <w:r w:rsidR="00F1619F" w:rsidRPr="00517270">
        <w:rPr>
          <w:sz w:val="28"/>
          <w:szCs w:val="28"/>
        </w:rPr>
        <w:t>9</w:t>
      </w:r>
      <w:r w:rsidR="00EA32B4" w:rsidRPr="00517270">
        <w:rPr>
          <w:sz w:val="28"/>
          <w:szCs w:val="28"/>
        </w:rPr>
        <w:t xml:space="preserve"> </w:t>
      </w:r>
      <w:r w:rsidRPr="00517270">
        <w:rPr>
          <w:sz w:val="28"/>
          <w:szCs w:val="28"/>
        </w:rPr>
        <w:t>сохранилась на прежнем уровне</w:t>
      </w:r>
      <w:r w:rsidR="008F1FB9" w:rsidRPr="00517270">
        <w:rPr>
          <w:sz w:val="28"/>
          <w:szCs w:val="28"/>
        </w:rPr>
        <w:t xml:space="preserve">. </w:t>
      </w:r>
      <w:r w:rsidR="00517270">
        <w:rPr>
          <w:sz w:val="28"/>
          <w:szCs w:val="28"/>
        </w:rPr>
        <w:t>Наибольшую долю</w:t>
      </w:r>
      <w:r w:rsidR="005A27A6">
        <w:rPr>
          <w:sz w:val="28"/>
          <w:szCs w:val="28"/>
        </w:rPr>
        <w:t xml:space="preserve"> составила</w:t>
      </w:r>
      <w:r w:rsidR="008F1FB9" w:rsidRPr="00517270">
        <w:rPr>
          <w:sz w:val="28"/>
          <w:szCs w:val="28"/>
        </w:rPr>
        <w:t xml:space="preserve"> задолженность перед поставщиками и подрядчиками</w:t>
      </w:r>
      <w:r w:rsidR="00517270">
        <w:rPr>
          <w:sz w:val="28"/>
          <w:szCs w:val="28"/>
        </w:rPr>
        <w:t xml:space="preserve"> - </w:t>
      </w:r>
      <w:r w:rsidR="00517270" w:rsidRPr="00517270">
        <w:rPr>
          <w:sz w:val="28"/>
          <w:szCs w:val="28"/>
        </w:rPr>
        <w:t>32,6</w:t>
      </w:r>
      <w:r w:rsidR="00517270">
        <w:rPr>
          <w:sz w:val="28"/>
          <w:szCs w:val="28"/>
        </w:rPr>
        <w:t>%</w:t>
      </w:r>
      <w:r w:rsidR="008F1FB9" w:rsidRPr="00517270">
        <w:rPr>
          <w:sz w:val="28"/>
          <w:szCs w:val="28"/>
        </w:rPr>
        <w:t>,</w:t>
      </w:r>
      <w:r w:rsidR="00517270" w:rsidRPr="00517270">
        <w:rPr>
          <w:sz w:val="28"/>
          <w:szCs w:val="28"/>
        </w:rPr>
        <w:t xml:space="preserve"> снижение относительно начала года составило 0,5%</w:t>
      </w:r>
      <w:r w:rsidR="00517270">
        <w:rPr>
          <w:sz w:val="28"/>
          <w:szCs w:val="28"/>
        </w:rPr>
        <w:t>.</w:t>
      </w:r>
      <w:r w:rsidR="008F1FB9" w:rsidRPr="00517270">
        <w:rPr>
          <w:sz w:val="28"/>
          <w:szCs w:val="28"/>
        </w:rPr>
        <w:t xml:space="preserve"> </w:t>
      </w:r>
      <w:r w:rsidR="00517270">
        <w:rPr>
          <w:sz w:val="28"/>
          <w:szCs w:val="28"/>
        </w:rPr>
        <w:t>В</w:t>
      </w:r>
      <w:r w:rsidR="008F1FB9" w:rsidRPr="00517270">
        <w:rPr>
          <w:sz w:val="28"/>
          <w:szCs w:val="28"/>
        </w:rPr>
        <w:t xml:space="preserve">ысокое значение данного показателя </w:t>
      </w:r>
      <w:r w:rsidR="005A27A6">
        <w:rPr>
          <w:sz w:val="28"/>
          <w:szCs w:val="28"/>
        </w:rPr>
        <w:t>отмечено</w:t>
      </w:r>
      <w:r w:rsidR="008F1FB9" w:rsidRPr="00517270">
        <w:rPr>
          <w:sz w:val="28"/>
          <w:szCs w:val="28"/>
        </w:rPr>
        <w:t xml:space="preserve"> в МУП «Липецкпассажиртранс» (5</w:t>
      </w:r>
      <w:r w:rsidR="008149E8" w:rsidRPr="00517270">
        <w:rPr>
          <w:sz w:val="28"/>
          <w:szCs w:val="28"/>
        </w:rPr>
        <w:t>1</w:t>
      </w:r>
      <w:r w:rsidR="008F1FB9" w:rsidRPr="00517270">
        <w:rPr>
          <w:sz w:val="28"/>
          <w:szCs w:val="28"/>
        </w:rPr>
        <w:t>,</w:t>
      </w:r>
      <w:r w:rsidR="008149E8" w:rsidRPr="00517270">
        <w:rPr>
          <w:sz w:val="28"/>
          <w:szCs w:val="28"/>
        </w:rPr>
        <w:t>6</w:t>
      </w:r>
      <w:r w:rsidR="008F1FB9" w:rsidRPr="00517270">
        <w:rPr>
          <w:sz w:val="28"/>
          <w:szCs w:val="28"/>
        </w:rPr>
        <w:t xml:space="preserve"> млн. рублей), </w:t>
      </w:r>
      <w:r w:rsidR="00CB1B40" w:rsidRPr="00517270">
        <w:rPr>
          <w:sz w:val="28"/>
          <w:szCs w:val="28"/>
        </w:rPr>
        <w:t xml:space="preserve">МУП </w:t>
      </w:r>
      <w:r w:rsidR="008F1FB9" w:rsidRPr="00517270">
        <w:rPr>
          <w:sz w:val="28"/>
          <w:szCs w:val="28"/>
        </w:rPr>
        <w:t>«ЛиСА» (</w:t>
      </w:r>
      <w:r w:rsidR="008149E8" w:rsidRPr="00517270">
        <w:rPr>
          <w:sz w:val="28"/>
          <w:szCs w:val="28"/>
        </w:rPr>
        <w:t>37</w:t>
      </w:r>
      <w:r w:rsidR="008F1FB9" w:rsidRPr="00517270">
        <w:rPr>
          <w:sz w:val="28"/>
          <w:szCs w:val="28"/>
        </w:rPr>
        <w:t>,</w:t>
      </w:r>
      <w:r w:rsidR="008149E8" w:rsidRPr="00517270">
        <w:rPr>
          <w:sz w:val="28"/>
          <w:szCs w:val="28"/>
        </w:rPr>
        <w:t>4</w:t>
      </w:r>
      <w:r w:rsidR="00CB1B40" w:rsidRPr="00517270">
        <w:rPr>
          <w:sz w:val="28"/>
          <w:szCs w:val="28"/>
        </w:rPr>
        <w:t xml:space="preserve"> млн. рублей)</w:t>
      </w:r>
      <w:r w:rsidR="008149E8" w:rsidRPr="00517270">
        <w:rPr>
          <w:sz w:val="28"/>
          <w:szCs w:val="28"/>
        </w:rPr>
        <w:t>, МКП «Липецкгорсвет» (19,0 млн. рублей)</w:t>
      </w:r>
      <w:r w:rsidR="00517270">
        <w:rPr>
          <w:sz w:val="28"/>
          <w:szCs w:val="28"/>
        </w:rPr>
        <w:t>.</w:t>
      </w:r>
    </w:p>
    <w:p w:rsidR="00517270" w:rsidRDefault="00517270" w:rsidP="00C916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Задолженность по налогам и сборам выросла на 7%, удельный вес в общей сумме задолженности состав</w:t>
      </w:r>
      <w:r w:rsidR="00040027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040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26,9%. </w:t>
      </w:r>
      <w:r w:rsidR="003D0465">
        <w:rPr>
          <w:sz w:val="28"/>
          <w:szCs w:val="28"/>
        </w:rPr>
        <w:t xml:space="preserve">Высокое значение задолженности </w:t>
      </w:r>
      <w:r w:rsidR="003D0465" w:rsidRPr="003D0465">
        <w:rPr>
          <w:sz w:val="28"/>
          <w:szCs w:val="28"/>
        </w:rPr>
        <w:t xml:space="preserve">по </w:t>
      </w:r>
      <w:r w:rsidR="003D0465" w:rsidRPr="003D0465">
        <w:rPr>
          <w:sz w:val="28"/>
          <w:szCs w:val="28"/>
        </w:rPr>
        <w:lastRenderedPageBreak/>
        <w:t xml:space="preserve">налогам и сборам </w:t>
      </w:r>
      <w:r w:rsidR="003D0465">
        <w:rPr>
          <w:sz w:val="28"/>
          <w:szCs w:val="28"/>
        </w:rPr>
        <w:t xml:space="preserve">отмечено в </w:t>
      </w:r>
      <w:r>
        <w:rPr>
          <w:sz w:val="28"/>
          <w:szCs w:val="28"/>
        </w:rPr>
        <w:t xml:space="preserve">МУП </w:t>
      </w:r>
      <w:r w:rsidRPr="00517270">
        <w:rPr>
          <w:sz w:val="28"/>
          <w:szCs w:val="28"/>
        </w:rPr>
        <w:t>«ЛиСА»</w:t>
      </w:r>
      <w:r>
        <w:rPr>
          <w:sz w:val="28"/>
          <w:szCs w:val="28"/>
        </w:rPr>
        <w:t xml:space="preserve"> </w:t>
      </w:r>
      <w:r w:rsidR="003D0465">
        <w:rPr>
          <w:sz w:val="28"/>
          <w:szCs w:val="28"/>
        </w:rPr>
        <w:t>-</w:t>
      </w:r>
      <w:r>
        <w:rPr>
          <w:sz w:val="28"/>
          <w:szCs w:val="28"/>
        </w:rPr>
        <w:t xml:space="preserve"> 23,6 </w:t>
      </w:r>
      <w:r w:rsidRPr="00517270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, </w:t>
      </w:r>
      <w:r w:rsidRPr="00517270">
        <w:rPr>
          <w:sz w:val="28"/>
          <w:szCs w:val="28"/>
        </w:rPr>
        <w:t>МУП «АДС городского хозяйства» г. Липецка</w:t>
      </w:r>
      <w:r>
        <w:rPr>
          <w:sz w:val="28"/>
          <w:szCs w:val="28"/>
        </w:rPr>
        <w:t xml:space="preserve"> – 29,6 </w:t>
      </w:r>
      <w:r w:rsidRPr="00517270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, из которой 27,3 </w:t>
      </w:r>
      <w:r w:rsidRPr="00517270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– просроченная. </w:t>
      </w:r>
      <w:proofErr w:type="gramEnd"/>
    </w:p>
    <w:p w:rsidR="00126362" w:rsidRPr="00517270" w:rsidRDefault="00126362" w:rsidP="00C91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перед прочими кредиторами </w:t>
      </w:r>
      <w:r w:rsidR="00764BF5">
        <w:rPr>
          <w:sz w:val="28"/>
          <w:szCs w:val="28"/>
        </w:rPr>
        <w:t xml:space="preserve">снизилась на 5,8% и </w:t>
      </w:r>
      <w:r>
        <w:rPr>
          <w:sz w:val="28"/>
          <w:szCs w:val="28"/>
        </w:rPr>
        <w:t xml:space="preserve">составила 23,1% </w:t>
      </w:r>
      <w:r w:rsidRPr="00126362">
        <w:rPr>
          <w:sz w:val="28"/>
          <w:szCs w:val="28"/>
        </w:rPr>
        <w:t>в общей сумме задолженности</w:t>
      </w:r>
      <w:r>
        <w:rPr>
          <w:sz w:val="28"/>
          <w:szCs w:val="28"/>
        </w:rPr>
        <w:t xml:space="preserve"> за счет</w:t>
      </w:r>
      <w:r w:rsidR="00764BF5">
        <w:rPr>
          <w:sz w:val="28"/>
          <w:szCs w:val="28"/>
        </w:rPr>
        <w:t xml:space="preserve"> снижения в</w:t>
      </w:r>
      <w:r>
        <w:rPr>
          <w:sz w:val="28"/>
          <w:szCs w:val="28"/>
        </w:rPr>
        <w:t xml:space="preserve"> МУП «</w:t>
      </w:r>
      <w:r w:rsidRPr="00126362">
        <w:rPr>
          <w:sz w:val="28"/>
          <w:szCs w:val="28"/>
        </w:rPr>
        <w:t>ЛиСА»</w:t>
      </w:r>
      <w:r>
        <w:rPr>
          <w:sz w:val="28"/>
          <w:szCs w:val="28"/>
        </w:rPr>
        <w:t xml:space="preserve"> на 42,8% (10,5 млн. р</w:t>
      </w:r>
      <w:r w:rsidRPr="00126362">
        <w:rPr>
          <w:sz w:val="28"/>
          <w:szCs w:val="28"/>
        </w:rPr>
        <w:t>ублей</w:t>
      </w:r>
      <w:r>
        <w:rPr>
          <w:sz w:val="28"/>
          <w:szCs w:val="28"/>
        </w:rPr>
        <w:t xml:space="preserve">), </w:t>
      </w:r>
      <w:r w:rsidRPr="00126362">
        <w:rPr>
          <w:sz w:val="28"/>
          <w:szCs w:val="28"/>
        </w:rPr>
        <w:t>МУП «Липецкпассажиртранс»</w:t>
      </w:r>
      <w:r>
        <w:rPr>
          <w:sz w:val="28"/>
          <w:szCs w:val="28"/>
        </w:rPr>
        <w:t xml:space="preserve"> на 16,3% </w:t>
      </w:r>
      <w:r w:rsidRPr="00126362">
        <w:rPr>
          <w:sz w:val="28"/>
          <w:szCs w:val="28"/>
        </w:rPr>
        <w:t>(</w:t>
      </w:r>
      <w:r>
        <w:rPr>
          <w:sz w:val="28"/>
          <w:szCs w:val="28"/>
        </w:rPr>
        <w:t>9,6</w:t>
      </w:r>
      <w:r w:rsidRPr="00126362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.</w:t>
      </w:r>
    </w:p>
    <w:p w:rsidR="005D604E" w:rsidRPr="00883191" w:rsidRDefault="005D604E" w:rsidP="00C916AB">
      <w:pPr>
        <w:ind w:firstLine="709"/>
        <w:jc w:val="both"/>
        <w:rPr>
          <w:color w:val="FF0000"/>
          <w:sz w:val="28"/>
          <w:szCs w:val="28"/>
        </w:rPr>
      </w:pPr>
    </w:p>
    <w:p w:rsidR="00F10112" w:rsidRPr="000C5E0F" w:rsidRDefault="00F10112" w:rsidP="007B6059">
      <w:pPr>
        <w:jc w:val="center"/>
        <w:rPr>
          <w:color w:val="FF0000"/>
          <w:sz w:val="28"/>
          <w:szCs w:val="28"/>
        </w:rPr>
      </w:pPr>
      <w:r w:rsidRPr="000C5E0F">
        <w:rPr>
          <w:noProof/>
          <w:color w:val="FF0000"/>
          <w:sz w:val="28"/>
          <w:szCs w:val="28"/>
        </w:rPr>
        <w:drawing>
          <wp:inline distT="0" distB="0" distL="0" distR="0" wp14:anchorId="59DC355C" wp14:editId="6FF802D4">
            <wp:extent cx="5955527" cy="2822713"/>
            <wp:effectExtent l="0" t="0" r="762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449F" w:rsidRPr="00E6133A" w:rsidRDefault="00D03548" w:rsidP="00D03548">
      <w:pPr>
        <w:ind w:left="709"/>
        <w:jc w:val="center"/>
        <w:rPr>
          <w:spacing w:val="-4"/>
          <w:sz w:val="28"/>
          <w:szCs w:val="28"/>
        </w:rPr>
      </w:pPr>
      <w:r w:rsidRPr="00E6133A">
        <w:rPr>
          <w:spacing w:val="-4"/>
          <w:sz w:val="28"/>
          <w:szCs w:val="28"/>
        </w:rPr>
        <w:t xml:space="preserve">2. </w:t>
      </w:r>
      <w:r w:rsidR="0045449F" w:rsidRPr="00E6133A">
        <w:rPr>
          <w:spacing w:val="-4"/>
          <w:sz w:val="28"/>
          <w:szCs w:val="28"/>
        </w:rPr>
        <w:t xml:space="preserve">Мониторинг </w:t>
      </w:r>
      <w:proofErr w:type="gramStart"/>
      <w:r w:rsidR="0045449F" w:rsidRPr="00E6133A">
        <w:rPr>
          <w:spacing w:val="-4"/>
          <w:sz w:val="28"/>
          <w:szCs w:val="28"/>
        </w:rPr>
        <w:t>дебиторской</w:t>
      </w:r>
      <w:proofErr w:type="gramEnd"/>
      <w:r w:rsidR="0045449F" w:rsidRPr="00E6133A">
        <w:rPr>
          <w:spacing w:val="-4"/>
          <w:sz w:val="28"/>
          <w:szCs w:val="28"/>
        </w:rPr>
        <w:t xml:space="preserve"> задолженности</w:t>
      </w:r>
    </w:p>
    <w:p w:rsidR="0045449F" w:rsidRPr="00E6133A" w:rsidRDefault="0045449F" w:rsidP="0045449F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  <w:r w:rsidRPr="00E6133A">
        <w:rPr>
          <w:spacing w:val="-4"/>
          <w:sz w:val="28"/>
          <w:szCs w:val="28"/>
        </w:rPr>
        <w:t>предприятий муниципального сектора экономики</w:t>
      </w:r>
    </w:p>
    <w:p w:rsidR="0045449F" w:rsidRPr="00E6133A" w:rsidRDefault="0045449F" w:rsidP="0045449F">
      <w:pPr>
        <w:tabs>
          <w:tab w:val="left" w:pos="1134"/>
        </w:tabs>
        <w:jc w:val="both"/>
        <w:rPr>
          <w:sz w:val="28"/>
          <w:szCs w:val="28"/>
        </w:rPr>
      </w:pPr>
    </w:p>
    <w:p w:rsidR="004F7015" w:rsidRPr="00E6133A" w:rsidRDefault="00E82CFE" w:rsidP="004F7015">
      <w:pPr>
        <w:ind w:firstLine="709"/>
        <w:jc w:val="both"/>
        <w:rPr>
          <w:sz w:val="28"/>
          <w:szCs w:val="28"/>
        </w:rPr>
      </w:pPr>
      <w:r w:rsidRPr="00E6133A">
        <w:rPr>
          <w:sz w:val="28"/>
          <w:szCs w:val="28"/>
        </w:rPr>
        <w:t>По состоянию на 01.</w:t>
      </w:r>
      <w:r w:rsidR="00E6133A" w:rsidRPr="00E6133A">
        <w:rPr>
          <w:sz w:val="28"/>
          <w:szCs w:val="28"/>
        </w:rPr>
        <w:t>01</w:t>
      </w:r>
      <w:r w:rsidRPr="00E6133A">
        <w:rPr>
          <w:sz w:val="28"/>
          <w:szCs w:val="28"/>
        </w:rPr>
        <w:t>.201</w:t>
      </w:r>
      <w:r w:rsidR="00E6133A" w:rsidRPr="00E6133A">
        <w:rPr>
          <w:sz w:val="28"/>
          <w:szCs w:val="28"/>
        </w:rPr>
        <w:t>9</w:t>
      </w:r>
      <w:r w:rsidRPr="00E6133A">
        <w:rPr>
          <w:sz w:val="28"/>
          <w:szCs w:val="28"/>
        </w:rPr>
        <w:t xml:space="preserve"> общая сумма </w:t>
      </w:r>
      <w:proofErr w:type="gramStart"/>
      <w:r w:rsidRPr="00E6133A">
        <w:rPr>
          <w:sz w:val="28"/>
          <w:szCs w:val="28"/>
        </w:rPr>
        <w:t>дебиторской</w:t>
      </w:r>
      <w:proofErr w:type="gramEnd"/>
      <w:r w:rsidRPr="00E6133A">
        <w:rPr>
          <w:sz w:val="28"/>
          <w:szCs w:val="28"/>
        </w:rPr>
        <w:t xml:space="preserve"> задолженности предприятий составила </w:t>
      </w:r>
      <w:r w:rsidR="00E6133A" w:rsidRPr="00E6133A">
        <w:rPr>
          <w:sz w:val="28"/>
          <w:szCs w:val="28"/>
        </w:rPr>
        <w:t>373,8</w:t>
      </w:r>
      <w:r w:rsidRPr="00E6133A">
        <w:rPr>
          <w:sz w:val="28"/>
          <w:szCs w:val="28"/>
        </w:rPr>
        <w:t xml:space="preserve"> млн. рублей</w:t>
      </w:r>
      <w:r w:rsidR="008169EA" w:rsidRPr="00E6133A">
        <w:rPr>
          <w:sz w:val="28"/>
          <w:szCs w:val="28"/>
        </w:rPr>
        <w:t xml:space="preserve">, </w:t>
      </w:r>
      <w:r w:rsidR="00F06522" w:rsidRPr="00E6133A">
        <w:rPr>
          <w:sz w:val="28"/>
          <w:szCs w:val="28"/>
        </w:rPr>
        <w:t xml:space="preserve">в том числе </w:t>
      </w:r>
      <w:r w:rsidRPr="00E6133A">
        <w:rPr>
          <w:sz w:val="28"/>
          <w:szCs w:val="28"/>
        </w:rPr>
        <w:t xml:space="preserve">предприятий ЖКХ </w:t>
      </w:r>
      <w:r w:rsidR="00F06522" w:rsidRPr="00E6133A">
        <w:rPr>
          <w:sz w:val="28"/>
          <w:szCs w:val="28"/>
        </w:rPr>
        <w:t xml:space="preserve">– </w:t>
      </w:r>
      <w:r w:rsidR="00E6133A" w:rsidRPr="00E6133A">
        <w:rPr>
          <w:sz w:val="28"/>
          <w:szCs w:val="28"/>
        </w:rPr>
        <w:t>7</w:t>
      </w:r>
      <w:r w:rsidR="00FE0A3E">
        <w:rPr>
          <w:sz w:val="28"/>
          <w:szCs w:val="28"/>
        </w:rPr>
        <w:t>3,6</w:t>
      </w:r>
      <w:r w:rsidRPr="00E6133A">
        <w:rPr>
          <w:sz w:val="28"/>
          <w:szCs w:val="28"/>
        </w:rPr>
        <w:t xml:space="preserve">%, транспорта – </w:t>
      </w:r>
      <w:r w:rsidR="00F06522" w:rsidRPr="00E6133A">
        <w:rPr>
          <w:sz w:val="28"/>
          <w:szCs w:val="28"/>
        </w:rPr>
        <w:t>2</w:t>
      </w:r>
      <w:r w:rsidR="00E6133A" w:rsidRPr="00E6133A">
        <w:rPr>
          <w:sz w:val="28"/>
          <w:szCs w:val="28"/>
        </w:rPr>
        <w:t>1</w:t>
      </w:r>
      <w:r w:rsidR="00FE0A3E">
        <w:rPr>
          <w:sz w:val="28"/>
          <w:szCs w:val="28"/>
        </w:rPr>
        <w:t>,4</w:t>
      </w:r>
      <w:r w:rsidRPr="00E6133A">
        <w:rPr>
          <w:sz w:val="28"/>
          <w:szCs w:val="28"/>
        </w:rPr>
        <w:t xml:space="preserve">%, дорожного хозяйства и благоустройства </w:t>
      </w:r>
      <w:r w:rsidRPr="00E6133A">
        <w:rPr>
          <w:sz w:val="28"/>
          <w:szCs w:val="28"/>
        </w:rPr>
        <w:sym w:font="Symbol" w:char="F02D"/>
      </w:r>
      <w:r w:rsidRPr="00E6133A">
        <w:rPr>
          <w:sz w:val="28"/>
          <w:szCs w:val="28"/>
        </w:rPr>
        <w:t xml:space="preserve"> </w:t>
      </w:r>
      <w:r w:rsidR="00E6133A" w:rsidRPr="00E6133A">
        <w:rPr>
          <w:sz w:val="28"/>
          <w:szCs w:val="28"/>
        </w:rPr>
        <w:t>5</w:t>
      </w:r>
      <w:r w:rsidR="00FE0A3E">
        <w:rPr>
          <w:sz w:val="28"/>
          <w:szCs w:val="28"/>
        </w:rPr>
        <w:t>,0</w:t>
      </w:r>
      <w:r w:rsidRPr="00E6133A">
        <w:rPr>
          <w:sz w:val="28"/>
          <w:szCs w:val="28"/>
        </w:rPr>
        <w:t>%</w:t>
      </w:r>
      <w:r w:rsidR="00F06522" w:rsidRPr="00E6133A">
        <w:rPr>
          <w:sz w:val="28"/>
          <w:szCs w:val="28"/>
        </w:rPr>
        <w:t xml:space="preserve"> всех обязательств.</w:t>
      </w:r>
    </w:p>
    <w:p w:rsidR="005544A0" w:rsidRPr="000C5E0F" w:rsidRDefault="00B03F2C" w:rsidP="00DE6C64">
      <w:pPr>
        <w:ind w:firstLine="709"/>
        <w:jc w:val="center"/>
        <w:rPr>
          <w:color w:val="FF0000"/>
          <w:sz w:val="28"/>
          <w:szCs w:val="28"/>
        </w:rPr>
      </w:pPr>
      <w:r w:rsidRPr="000C5E0F">
        <w:rPr>
          <w:noProof/>
          <w:color w:val="FF0000"/>
          <w:sz w:val="28"/>
          <w:szCs w:val="28"/>
        </w:rPr>
        <w:drawing>
          <wp:inline distT="0" distB="0" distL="0" distR="0" wp14:anchorId="7C49431C" wp14:editId="21A07D17">
            <wp:extent cx="4683318" cy="3212327"/>
            <wp:effectExtent l="0" t="0" r="0" b="7620"/>
            <wp:docPr id="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765E" w:rsidRPr="00B0661C" w:rsidRDefault="00BB385B" w:rsidP="00C276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661C">
        <w:rPr>
          <w:sz w:val="28"/>
          <w:szCs w:val="28"/>
        </w:rPr>
        <w:lastRenderedPageBreak/>
        <w:t xml:space="preserve">Наибольшая сумма </w:t>
      </w:r>
      <w:proofErr w:type="gramStart"/>
      <w:r w:rsidRPr="00B0661C">
        <w:rPr>
          <w:sz w:val="28"/>
          <w:szCs w:val="28"/>
        </w:rPr>
        <w:t>дебиторской</w:t>
      </w:r>
      <w:proofErr w:type="gramEnd"/>
      <w:r w:rsidRPr="00B0661C">
        <w:rPr>
          <w:sz w:val="28"/>
          <w:szCs w:val="28"/>
        </w:rPr>
        <w:t xml:space="preserve"> задолженности </w:t>
      </w:r>
      <w:r w:rsidR="004F7015" w:rsidRPr="00B0661C">
        <w:rPr>
          <w:sz w:val="28"/>
          <w:szCs w:val="28"/>
        </w:rPr>
        <w:t>сложилась</w:t>
      </w:r>
      <w:r w:rsidRPr="00B0661C">
        <w:rPr>
          <w:sz w:val="28"/>
          <w:szCs w:val="28"/>
        </w:rPr>
        <w:t xml:space="preserve"> </w:t>
      </w:r>
      <w:r w:rsidR="00C5221D">
        <w:rPr>
          <w:sz w:val="28"/>
          <w:szCs w:val="28"/>
        </w:rPr>
        <w:t>в</w:t>
      </w:r>
      <w:r w:rsidRPr="00B0661C">
        <w:rPr>
          <w:sz w:val="28"/>
          <w:szCs w:val="28"/>
        </w:rPr>
        <w:t xml:space="preserve"> следующи</w:t>
      </w:r>
      <w:r w:rsidR="00A41C20" w:rsidRPr="00B0661C">
        <w:rPr>
          <w:sz w:val="28"/>
          <w:szCs w:val="28"/>
        </w:rPr>
        <w:t>х</w:t>
      </w:r>
      <w:r w:rsidRPr="00B0661C">
        <w:rPr>
          <w:sz w:val="28"/>
          <w:szCs w:val="28"/>
        </w:rPr>
        <w:t xml:space="preserve"> предприяти</w:t>
      </w:r>
      <w:r w:rsidR="00C5221D">
        <w:rPr>
          <w:sz w:val="28"/>
          <w:szCs w:val="28"/>
        </w:rPr>
        <w:t>ях</w:t>
      </w:r>
      <w:r w:rsidRPr="00B0661C">
        <w:rPr>
          <w:sz w:val="28"/>
          <w:szCs w:val="28"/>
        </w:rPr>
        <w:t>:</w:t>
      </w:r>
      <w:r w:rsidR="00C2765E" w:rsidRPr="00B0661C">
        <w:rPr>
          <w:sz w:val="28"/>
          <w:szCs w:val="28"/>
        </w:rPr>
        <w:t xml:space="preserve"> </w:t>
      </w:r>
    </w:p>
    <w:p w:rsidR="008A0A5F" w:rsidRPr="00484118" w:rsidRDefault="00BB385B" w:rsidP="00637F56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F56">
        <w:rPr>
          <w:sz w:val="28"/>
          <w:szCs w:val="28"/>
        </w:rPr>
        <w:t xml:space="preserve">МУП «Липецкводоканал» </w:t>
      </w:r>
      <w:r w:rsidR="00A27608" w:rsidRPr="00637F56">
        <w:rPr>
          <w:sz w:val="28"/>
          <w:szCs w:val="28"/>
        </w:rPr>
        <w:t xml:space="preserve">в </w:t>
      </w:r>
      <w:r w:rsidR="00C508CB" w:rsidRPr="00637F56">
        <w:rPr>
          <w:sz w:val="28"/>
          <w:szCs w:val="28"/>
        </w:rPr>
        <w:t>сумме</w:t>
      </w:r>
      <w:r w:rsidR="00A27608" w:rsidRPr="00637F56">
        <w:rPr>
          <w:sz w:val="28"/>
          <w:szCs w:val="28"/>
        </w:rPr>
        <w:t xml:space="preserve"> </w:t>
      </w:r>
      <w:r w:rsidR="008F4E19" w:rsidRPr="00637F56">
        <w:rPr>
          <w:sz w:val="28"/>
          <w:szCs w:val="28"/>
        </w:rPr>
        <w:t>81</w:t>
      </w:r>
      <w:r w:rsidR="00B95955" w:rsidRPr="00637F56">
        <w:rPr>
          <w:sz w:val="28"/>
          <w:szCs w:val="28"/>
        </w:rPr>
        <w:t>,</w:t>
      </w:r>
      <w:r w:rsidR="008F4E19" w:rsidRPr="00637F56">
        <w:rPr>
          <w:sz w:val="28"/>
          <w:szCs w:val="28"/>
        </w:rPr>
        <w:t>1</w:t>
      </w:r>
      <w:r w:rsidR="00007324">
        <w:rPr>
          <w:sz w:val="28"/>
          <w:szCs w:val="28"/>
        </w:rPr>
        <w:t xml:space="preserve"> млн. рублей</w:t>
      </w:r>
      <w:r w:rsidR="00853543" w:rsidRPr="00637F56">
        <w:rPr>
          <w:sz w:val="28"/>
          <w:szCs w:val="28"/>
        </w:rPr>
        <w:t xml:space="preserve">, из которой </w:t>
      </w:r>
      <w:r w:rsidR="00637F56" w:rsidRPr="00637F56">
        <w:rPr>
          <w:sz w:val="28"/>
          <w:szCs w:val="28"/>
        </w:rPr>
        <w:t>7</w:t>
      </w:r>
      <w:r w:rsidR="00007324">
        <w:rPr>
          <w:sz w:val="28"/>
          <w:szCs w:val="28"/>
        </w:rPr>
        <w:t>7,6</w:t>
      </w:r>
      <w:r w:rsidR="00853543" w:rsidRPr="00637F56">
        <w:rPr>
          <w:sz w:val="28"/>
          <w:szCs w:val="28"/>
        </w:rPr>
        <w:t>%</w:t>
      </w:r>
      <w:r w:rsidR="00007324">
        <w:rPr>
          <w:sz w:val="28"/>
          <w:szCs w:val="28"/>
        </w:rPr>
        <w:t xml:space="preserve"> или</w:t>
      </w:r>
      <w:r w:rsidR="00637F56" w:rsidRPr="00637F56">
        <w:rPr>
          <w:sz w:val="28"/>
          <w:szCs w:val="28"/>
        </w:rPr>
        <w:t xml:space="preserve"> </w:t>
      </w:r>
      <w:r w:rsidR="00007324" w:rsidRPr="00637F56">
        <w:rPr>
          <w:sz w:val="28"/>
          <w:szCs w:val="28"/>
        </w:rPr>
        <w:t>63</w:t>
      </w:r>
      <w:r w:rsidR="00007324">
        <w:rPr>
          <w:sz w:val="28"/>
          <w:szCs w:val="28"/>
        </w:rPr>
        <w:t>,0</w:t>
      </w:r>
      <w:r w:rsidR="00007324" w:rsidRPr="00637F56">
        <w:rPr>
          <w:sz w:val="28"/>
          <w:szCs w:val="28"/>
        </w:rPr>
        <w:t xml:space="preserve"> млн. рублей </w:t>
      </w:r>
      <w:r w:rsidRPr="00637F56">
        <w:rPr>
          <w:sz w:val="28"/>
          <w:szCs w:val="28"/>
        </w:rPr>
        <w:t>– задолженность АО «ЛГЭК» по договорам аренды имущества</w:t>
      </w:r>
      <w:r w:rsidR="00637F56" w:rsidRPr="00637F56">
        <w:rPr>
          <w:sz w:val="28"/>
          <w:szCs w:val="28"/>
        </w:rPr>
        <w:t xml:space="preserve"> (в том числе просроченная 54,6 млн. рублей), 22</w:t>
      </w:r>
      <w:r w:rsidR="00007324">
        <w:rPr>
          <w:sz w:val="28"/>
          <w:szCs w:val="28"/>
        </w:rPr>
        <w:t>,2</w:t>
      </w:r>
      <w:r w:rsidR="00637F56" w:rsidRPr="00637F56">
        <w:rPr>
          <w:sz w:val="28"/>
          <w:szCs w:val="28"/>
        </w:rPr>
        <w:t xml:space="preserve">% </w:t>
      </w:r>
      <w:r w:rsidR="00007324">
        <w:rPr>
          <w:sz w:val="28"/>
          <w:szCs w:val="28"/>
        </w:rPr>
        <w:t xml:space="preserve">или </w:t>
      </w:r>
      <w:r w:rsidR="00007324" w:rsidRPr="00484118">
        <w:rPr>
          <w:sz w:val="28"/>
          <w:szCs w:val="28"/>
        </w:rPr>
        <w:t>18</w:t>
      </w:r>
      <w:r w:rsidR="00007324">
        <w:rPr>
          <w:sz w:val="28"/>
          <w:szCs w:val="28"/>
        </w:rPr>
        <w:t>,0</w:t>
      </w:r>
      <w:r w:rsidR="00007324" w:rsidRPr="00484118">
        <w:rPr>
          <w:sz w:val="28"/>
          <w:szCs w:val="28"/>
        </w:rPr>
        <w:t xml:space="preserve"> млн. рублей</w:t>
      </w:r>
      <w:r w:rsidR="00007324" w:rsidRPr="00637F56">
        <w:rPr>
          <w:sz w:val="28"/>
          <w:szCs w:val="28"/>
        </w:rPr>
        <w:t xml:space="preserve"> </w:t>
      </w:r>
      <w:r w:rsidR="00637F56" w:rsidRPr="00637F56">
        <w:rPr>
          <w:sz w:val="28"/>
          <w:szCs w:val="28"/>
        </w:rPr>
        <w:t xml:space="preserve">- задолженность МУП </w:t>
      </w:r>
      <w:r w:rsidR="00637F56" w:rsidRPr="00484118">
        <w:rPr>
          <w:sz w:val="28"/>
          <w:szCs w:val="28"/>
        </w:rPr>
        <w:t>Банно-прачечного хозяйства г. Липецка (в том числе просроченная 0,3 млн. рублей)</w:t>
      </w:r>
      <w:r w:rsidR="004F7015" w:rsidRPr="00484118">
        <w:rPr>
          <w:sz w:val="28"/>
          <w:szCs w:val="28"/>
        </w:rPr>
        <w:t>;</w:t>
      </w:r>
    </w:p>
    <w:p w:rsidR="00383B61" w:rsidRPr="00484118" w:rsidRDefault="008F4E19" w:rsidP="00383B61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4118">
        <w:rPr>
          <w:sz w:val="28"/>
          <w:szCs w:val="28"/>
        </w:rPr>
        <w:t xml:space="preserve">МУП «Липецктеплосеть» в сумме </w:t>
      </w:r>
      <w:r w:rsidR="00383B61" w:rsidRPr="00484118">
        <w:rPr>
          <w:sz w:val="28"/>
          <w:szCs w:val="28"/>
        </w:rPr>
        <w:t>61</w:t>
      </w:r>
      <w:r w:rsidRPr="00484118">
        <w:rPr>
          <w:sz w:val="28"/>
          <w:szCs w:val="28"/>
        </w:rPr>
        <w:t>,</w:t>
      </w:r>
      <w:r w:rsidR="00383B61" w:rsidRPr="00484118">
        <w:rPr>
          <w:sz w:val="28"/>
          <w:szCs w:val="28"/>
        </w:rPr>
        <w:t>1</w:t>
      </w:r>
      <w:r w:rsidRPr="00484118">
        <w:rPr>
          <w:sz w:val="28"/>
          <w:szCs w:val="28"/>
        </w:rPr>
        <w:t xml:space="preserve"> млн. рублей, из которой </w:t>
      </w:r>
      <w:r w:rsidR="00007324">
        <w:rPr>
          <w:sz w:val="28"/>
          <w:szCs w:val="28"/>
        </w:rPr>
        <w:t xml:space="preserve">83,7% или </w:t>
      </w:r>
      <w:r w:rsidRPr="00484118">
        <w:rPr>
          <w:sz w:val="28"/>
          <w:szCs w:val="28"/>
        </w:rPr>
        <w:t>5</w:t>
      </w:r>
      <w:r w:rsidR="00B0661C" w:rsidRPr="00484118">
        <w:rPr>
          <w:sz w:val="28"/>
          <w:szCs w:val="28"/>
        </w:rPr>
        <w:t>1</w:t>
      </w:r>
      <w:r w:rsidRPr="00484118">
        <w:rPr>
          <w:sz w:val="28"/>
          <w:szCs w:val="28"/>
        </w:rPr>
        <w:t>,</w:t>
      </w:r>
      <w:r w:rsidR="00B0661C" w:rsidRPr="00484118">
        <w:rPr>
          <w:sz w:val="28"/>
          <w:szCs w:val="28"/>
        </w:rPr>
        <w:t>2</w:t>
      </w:r>
      <w:r w:rsidR="00007324">
        <w:rPr>
          <w:sz w:val="28"/>
          <w:szCs w:val="28"/>
        </w:rPr>
        <w:t xml:space="preserve"> млн. рублей</w:t>
      </w:r>
      <w:r w:rsidRPr="00484118">
        <w:rPr>
          <w:sz w:val="28"/>
          <w:szCs w:val="28"/>
        </w:rPr>
        <w:t xml:space="preserve"> – задолженность АО «ЛГЭК»</w:t>
      </w:r>
      <w:r w:rsidR="00D969CA">
        <w:rPr>
          <w:sz w:val="28"/>
          <w:szCs w:val="28"/>
        </w:rPr>
        <w:t xml:space="preserve"> по договорам аренды имущества</w:t>
      </w:r>
      <w:r w:rsidR="00007324">
        <w:rPr>
          <w:sz w:val="28"/>
          <w:szCs w:val="28"/>
        </w:rPr>
        <w:t xml:space="preserve"> </w:t>
      </w:r>
      <w:r w:rsidR="00007324" w:rsidRPr="00484118">
        <w:rPr>
          <w:sz w:val="28"/>
          <w:szCs w:val="28"/>
        </w:rPr>
        <w:t xml:space="preserve">(в том числе </w:t>
      </w:r>
      <w:proofErr w:type="gramStart"/>
      <w:r w:rsidR="00007324" w:rsidRPr="00484118">
        <w:rPr>
          <w:sz w:val="28"/>
          <w:szCs w:val="28"/>
        </w:rPr>
        <w:t>просроченная</w:t>
      </w:r>
      <w:proofErr w:type="gramEnd"/>
      <w:r w:rsidR="00007324" w:rsidRPr="00484118">
        <w:rPr>
          <w:sz w:val="28"/>
          <w:szCs w:val="28"/>
        </w:rPr>
        <w:t xml:space="preserve"> 39,6 млн. рублей)</w:t>
      </w:r>
      <w:r w:rsidR="00D969CA">
        <w:rPr>
          <w:sz w:val="28"/>
          <w:szCs w:val="28"/>
        </w:rPr>
        <w:t>;</w:t>
      </w:r>
    </w:p>
    <w:p w:rsidR="00484118" w:rsidRPr="007F1A16" w:rsidRDefault="00383B61" w:rsidP="00484118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1A16">
        <w:rPr>
          <w:sz w:val="28"/>
          <w:szCs w:val="28"/>
        </w:rPr>
        <w:t xml:space="preserve">МУП «Липецкпассажиртранс» в сумме 62,8 млн. рублей, </w:t>
      </w:r>
      <w:r w:rsidR="00D65C9A" w:rsidRPr="007F1A16">
        <w:rPr>
          <w:sz w:val="28"/>
          <w:szCs w:val="28"/>
        </w:rPr>
        <w:t xml:space="preserve">из которой 33,2 млн. рублей - </w:t>
      </w:r>
      <w:r w:rsidR="00E017B8" w:rsidRPr="007F1A16">
        <w:rPr>
          <w:sz w:val="28"/>
          <w:szCs w:val="28"/>
        </w:rPr>
        <w:t>предоплата</w:t>
      </w:r>
      <w:r w:rsidR="00484118" w:rsidRPr="007F1A16">
        <w:rPr>
          <w:sz w:val="28"/>
          <w:szCs w:val="28"/>
        </w:rPr>
        <w:t xml:space="preserve"> по договорам финансовой аренды (лизинга) на приобретение автобусов;</w:t>
      </w:r>
    </w:p>
    <w:p w:rsidR="00BE7E0C" w:rsidRPr="00B04135" w:rsidRDefault="008F4E19" w:rsidP="00BE7E0C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4135">
        <w:rPr>
          <w:sz w:val="28"/>
          <w:szCs w:val="28"/>
        </w:rPr>
        <w:t xml:space="preserve">МУП «АДС городского хозяйства» в сумме 46,3 млн. рублей (в том числе </w:t>
      </w:r>
      <w:proofErr w:type="gramStart"/>
      <w:r w:rsidRPr="00B04135">
        <w:rPr>
          <w:sz w:val="28"/>
          <w:szCs w:val="28"/>
        </w:rPr>
        <w:t>просроченная</w:t>
      </w:r>
      <w:proofErr w:type="gramEnd"/>
      <w:r w:rsidRPr="00B04135">
        <w:rPr>
          <w:sz w:val="28"/>
          <w:szCs w:val="28"/>
        </w:rPr>
        <w:t xml:space="preserve"> 42,5 млн. рублей)</w:t>
      </w:r>
      <w:r w:rsidR="00BE7E0C" w:rsidRPr="00B04135">
        <w:rPr>
          <w:sz w:val="28"/>
          <w:szCs w:val="28"/>
        </w:rPr>
        <w:t>.</w:t>
      </w:r>
      <w:r w:rsidRPr="00B04135">
        <w:rPr>
          <w:sz w:val="28"/>
          <w:szCs w:val="28"/>
        </w:rPr>
        <w:t xml:space="preserve"> </w:t>
      </w:r>
      <w:r w:rsidR="00BE7E0C" w:rsidRPr="00B04135">
        <w:rPr>
          <w:sz w:val="28"/>
          <w:szCs w:val="28"/>
        </w:rPr>
        <w:t>Совместно с УФССП РФ проведена работа по наложению ареста на задолженность в сумме 28,7 млн. рублей для дальнейшего распределения денежных сре</w:t>
      </w:r>
      <w:proofErr w:type="gramStart"/>
      <w:r w:rsidR="00BE7E0C" w:rsidRPr="00B04135">
        <w:rPr>
          <w:sz w:val="28"/>
          <w:szCs w:val="28"/>
        </w:rPr>
        <w:t>дств в с</w:t>
      </w:r>
      <w:proofErr w:type="gramEnd"/>
      <w:r w:rsidR="00BE7E0C" w:rsidRPr="00B04135">
        <w:rPr>
          <w:sz w:val="28"/>
          <w:szCs w:val="28"/>
        </w:rPr>
        <w:t>оответствии с очередностью, определенной законодательством РФ</w:t>
      </w:r>
      <w:r w:rsidR="00D652AC" w:rsidRPr="00B04135">
        <w:rPr>
          <w:sz w:val="28"/>
          <w:szCs w:val="28"/>
        </w:rPr>
        <w:t>.</w:t>
      </w:r>
      <w:r w:rsidR="00D652AC" w:rsidRPr="00B04135">
        <w:t xml:space="preserve"> </w:t>
      </w:r>
      <w:r w:rsidR="00D652AC" w:rsidRPr="00B04135">
        <w:rPr>
          <w:sz w:val="28"/>
          <w:szCs w:val="28"/>
        </w:rPr>
        <w:t xml:space="preserve">С целью снижения </w:t>
      </w:r>
      <w:r w:rsidR="00BE7E0C" w:rsidRPr="00B04135">
        <w:rPr>
          <w:sz w:val="28"/>
          <w:szCs w:val="28"/>
        </w:rPr>
        <w:t xml:space="preserve">задолженности </w:t>
      </w:r>
      <w:r w:rsidR="00D652AC" w:rsidRPr="00B04135">
        <w:rPr>
          <w:sz w:val="28"/>
          <w:szCs w:val="28"/>
        </w:rPr>
        <w:t xml:space="preserve">проводится </w:t>
      </w:r>
      <w:proofErr w:type="spellStart"/>
      <w:r w:rsidR="00D652AC" w:rsidRPr="00B04135">
        <w:rPr>
          <w:sz w:val="28"/>
          <w:szCs w:val="28"/>
        </w:rPr>
        <w:t>претензионно</w:t>
      </w:r>
      <w:proofErr w:type="spellEnd"/>
      <w:r w:rsidR="00D652AC" w:rsidRPr="00B04135">
        <w:rPr>
          <w:sz w:val="28"/>
          <w:szCs w:val="28"/>
        </w:rPr>
        <w:t>-исковая работа с должниками, в том числе физическими лицами</w:t>
      </w:r>
      <w:r w:rsidR="00BE7E0C" w:rsidRPr="00B04135">
        <w:rPr>
          <w:sz w:val="28"/>
          <w:szCs w:val="28"/>
        </w:rPr>
        <w:t>, сверка по подтверждению сумм задолженности, подписываются акты взаимозачетов, заключаются соглашения о реструктуризации задолженности</w:t>
      </w:r>
      <w:r w:rsidR="00B04135">
        <w:rPr>
          <w:sz w:val="28"/>
          <w:szCs w:val="28"/>
        </w:rPr>
        <w:t>;</w:t>
      </w:r>
    </w:p>
    <w:p w:rsidR="0005089B" w:rsidRPr="00BE7E0C" w:rsidRDefault="0005089B" w:rsidP="00BE7E0C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BE7E0C">
        <w:rPr>
          <w:sz w:val="28"/>
          <w:szCs w:val="28"/>
        </w:rPr>
        <w:t xml:space="preserve">МУП «ЛиСА» в сумме </w:t>
      </w:r>
      <w:r w:rsidR="008F4E19" w:rsidRPr="00BE7E0C">
        <w:rPr>
          <w:sz w:val="28"/>
          <w:szCs w:val="28"/>
        </w:rPr>
        <w:t>43</w:t>
      </w:r>
      <w:r w:rsidR="008D1854" w:rsidRPr="00BE7E0C">
        <w:rPr>
          <w:sz w:val="28"/>
          <w:szCs w:val="28"/>
        </w:rPr>
        <w:t>,0</w:t>
      </w:r>
      <w:r w:rsidRPr="00BE7E0C">
        <w:rPr>
          <w:sz w:val="28"/>
          <w:szCs w:val="28"/>
        </w:rPr>
        <w:t xml:space="preserve"> млн. рублей</w:t>
      </w:r>
      <w:r w:rsidR="00521366" w:rsidRPr="00BE7E0C">
        <w:rPr>
          <w:sz w:val="28"/>
          <w:szCs w:val="28"/>
        </w:rPr>
        <w:t>.</w:t>
      </w:r>
      <w:r w:rsidR="008D1854" w:rsidRPr="00BE7E0C">
        <w:rPr>
          <w:sz w:val="28"/>
          <w:szCs w:val="28"/>
        </w:rPr>
        <w:t xml:space="preserve"> </w:t>
      </w:r>
      <w:r w:rsidR="006864B2" w:rsidRPr="00BE7E0C">
        <w:rPr>
          <w:sz w:val="28"/>
          <w:szCs w:val="28"/>
        </w:rPr>
        <w:t xml:space="preserve">Сумма </w:t>
      </w:r>
      <w:proofErr w:type="gramStart"/>
      <w:r w:rsidR="006864B2" w:rsidRPr="00BE7E0C">
        <w:rPr>
          <w:sz w:val="28"/>
          <w:szCs w:val="28"/>
        </w:rPr>
        <w:t>д</w:t>
      </w:r>
      <w:r w:rsidR="000E5382" w:rsidRPr="00BE7E0C">
        <w:rPr>
          <w:sz w:val="28"/>
          <w:szCs w:val="28"/>
        </w:rPr>
        <w:t>ебиторск</w:t>
      </w:r>
      <w:r w:rsidR="006864B2" w:rsidRPr="00BE7E0C">
        <w:rPr>
          <w:sz w:val="28"/>
          <w:szCs w:val="28"/>
        </w:rPr>
        <w:t>ой</w:t>
      </w:r>
      <w:proofErr w:type="gramEnd"/>
      <w:r w:rsidR="000E5382" w:rsidRPr="00BE7E0C">
        <w:rPr>
          <w:sz w:val="28"/>
          <w:szCs w:val="28"/>
        </w:rPr>
        <w:t xml:space="preserve"> задолженност</w:t>
      </w:r>
      <w:r w:rsidR="006864B2" w:rsidRPr="00BE7E0C">
        <w:rPr>
          <w:sz w:val="28"/>
          <w:szCs w:val="28"/>
        </w:rPr>
        <w:t>и</w:t>
      </w:r>
      <w:r w:rsidR="000E5382" w:rsidRPr="00BE7E0C">
        <w:rPr>
          <w:sz w:val="28"/>
          <w:szCs w:val="28"/>
        </w:rPr>
        <w:t xml:space="preserve"> </w:t>
      </w:r>
      <w:r w:rsidR="006864B2" w:rsidRPr="00BE7E0C">
        <w:rPr>
          <w:sz w:val="28"/>
          <w:szCs w:val="28"/>
        </w:rPr>
        <w:t>по данным бухгалтерского учета</w:t>
      </w:r>
      <w:r w:rsidR="000E5382" w:rsidRPr="00BE7E0C">
        <w:rPr>
          <w:sz w:val="28"/>
          <w:szCs w:val="28"/>
        </w:rPr>
        <w:t xml:space="preserve"> составляет 104</w:t>
      </w:r>
      <w:r w:rsidR="008D1854" w:rsidRPr="00BE7E0C">
        <w:rPr>
          <w:sz w:val="28"/>
          <w:szCs w:val="28"/>
        </w:rPr>
        <w:t>,1</w:t>
      </w:r>
      <w:r w:rsidR="000E5382" w:rsidRPr="00BE7E0C">
        <w:rPr>
          <w:sz w:val="28"/>
          <w:szCs w:val="28"/>
        </w:rPr>
        <w:t xml:space="preserve"> млн. рублей</w:t>
      </w:r>
      <w:r w:rsidR="008D1854" w:rsidRPr="00BE7E0C">
        <w:rPr>
          <w:sz w:val="28"/>
          <w:szCs w:val="28"/>
        </w:rPr>
        <w:t xml:space="preserve">, в том числе задолженность АО «ЛГЭК» 88,1 млн. рублей. В бухгалтерском балансе </w:t>
      </w:r>
      <w:proofErr w:type="gramStart"/>
      <w:r w:rsidR="008D1854" w:rsidRPr="00BE7E0C">
        <w:rPr>
          <w:sz w:val="28"/>
          <w:szCs w:val="28"/>
        </w:rPr>
        <w:t>дебиторская</w:t>
      </w:r>
      <w:proofErr w:type="gramEnd"/>
      <w:r w:rsidR="008D1854" w:rsidRPr="00BE7E0C">
        <w:rPr>
          <w:sz w:val="28"/>
          <w:szCs w:val="28"/>
        </w:rPr>
        <w:t xml:space="preserve"> задолженность отражена за минусом созданного резерва по сомнительным долгам АО «ЛГЭК» в сумме 61,1 млн. рублей.</w:t>
      </w:r>
    </w:p>
    <w:p w:rsidR="009C5942" w:rsidRPr="0031120E" w:rsidRDefault="00950FE7" w:rsidP="00F672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1120E">
        <w:rPr>
          <w:sz w:val="28"/>
          <w:szCs w:val="28"/>
        </w:rPr>
        <w:t>С</w:t>
      </w:r>
      <w:r w:rsidR="009C5942" w:rsidRPr="0031120E">
        <w:rPr>
          <w:sz w:val="28"/>
          <w:szCs w:val="28"/>
        </w:rPr>
        <w:t>уммированная</w:t>
      </w:r>
      <w:proofErr w:type="gramEnd"/>
      <w:r w:rsidR="009C5942" w:rsidRPr="0031120E">
        <w:rPr>
          <w:sz w:val="28"/>
          <w:szCs w:val="28"/>
        </w:rPr>
        <w:t xml:space="preserve"> по всем МУП просроченная </w:t>
      </w:r>
      <w:r w:rsidRPr="0031120E">
        <w:rPr>
          <w:sz w:val="28"/>
          <w:szCs w:val="28"/>
        </w:rPr>
        <w:t xml:space="preserve">дебиторская </w:t>
      </w:r>
      <w:r w:rsidR="009C5942" w:rsidRPr="0031120E">
        <w:rPr>
          <w:sz w:val="28"/>
          <w:szCs w:val="28"/>
        </w:rPr>
        <w:t xml:space="preserve">задолженность составила </w:t>
      </w:r>
      <w:r w:rsidR="00E9644B" w:rsidRPr="0031120E">
        <w:rPr>
          <w:sz w:val="28"/>
          <w:szCs w:val="28"/>
        </w:rPr>
        <w:t>2</w:t>
      </w:r>
      <w:r w:rsidR="00630200" w:rsidRPr="0031120E">
        <w:rPr>
          <w:sz w:val="28"/>
          <w:szCs w:val="28"/>
        </w:rPr>
        <w:t>13</w:t>
      </w:r>
      <w:r w:rsidR="00B04135">
        <w:rPr>
          <w:sz w:val="28"/>
          <w:szCs w:val="28"/>
        </w:rPr>
        <w:t>,4</w:t>
      </w:r>
      <w:r w:rsidR="009C5942" w:rsidRPr="0031120E">
        <w:rPr>
          <w:sz w:val="28"/>
          <w:szCs w:val="28"/>
        </w:rPr>
        <w:t xml:space="preserve"> млн. рублей или </w:t>
      </w:r>
      <w:r w:rsidR="0031120E" w:rsidRPr="0031120E">
        <w:rPr>
          <w:sz w:val="28"/>
          <w:szCs w:val="28"/>
        </w:rPr>
        <w:t>57</w:t>
      </w:r>
      <w:r w:rsidR="00B04135">
        <w:rPr>
          <w:sz w:val="28"/>
          <w:szCs w:val="28"/>
        </w:rPr>
        <w:t>,1</w:t>
      </w:r>
      <w:r w:rsidR="009C5942" w:rsidRPr="0031120E">
        <w:rPr>
          <w:sz w:val="28"/>
          <w:szCs w:val="28"/>
        </w:rPr>
        <w:t>% от общего объема задолженности.</w:t>
      </w:r>
    </w:p>
    <w:p w:rsidR="00682C0B" w:rsidRPr="00824A0F" w:rsidRDefault="00682C0B" w:rsidP="008F2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24A0F">
        <w:rPr>
          <w:sz w:val="28"/>
          <w:szCs w:val="28"/>
        </w:rPr>
        <w:t>Просроченная</w:t>
      </w:r>
      <w:proofErr w:type="gramEnd"/>
      <w:r w:rsidRPr="00824A0F">
        <w:rPr>
          <w:sz w:val="28"/>
          <w:szCs w:val="28"/>
        </w:rPr>
        <w:t xml:space="preserve"> задолженность МУП «Горэлектросеть» г. Липецка</w:t>
      </w:r>
      <w:r w:rsidRPr="00824A0F">
        <w:t xml:space="preserve"> </w:t>
      </w:r>
      <w:r w:rsidRPr="00824A0F">
        <w:rPr>
          <w:sz w:val="28"/>
          <w:szCs w:val="28"/>
        </w:rPr>
        <w:t xml:space="preserve">составила </w:t>
      </w:r>
      <w:r w:rsidR="00824A0F" w:rsidRPr="00824A0F">
        <w:rPr>
          <w:sz w:val="28"/>
          <w:szCs w:val="28"/>
        </w:rPr>
        <w:t>10,4</w:t>
      </w:r>
      <w:r w:rsidRPr="00824A0F">
        <w:rPr>
          <w:sz w:val="28"/>
          <w:szCs w:val="28"/>
        </w:rPr>
        <w:t xml:space="preserve"> млн. рублей, из которой 9</w:t>
      </w:r>
      <w:r w:rsidR="00824A0F" w:rsidRPr="00824A0F">
        <w:rPr>
          <w:sz w:val="28"/>
          <w:szCs w:val="28"/>
        </w:rPr>
        <w:t>2</w:t>
      </w:r>
      <w:r w:rsidRPr="00824A0F">
        <w:rPr>
          <w:sz w:val="28"/>
          <w:szCs w:val="28"/>
        </w:rPr>
        <w:t>% – задолженность АО «ЛГЭК»</w:t>
      </w:r>
      <w:r w:rsidRPr="00824A0F">
        <w:t xml:space="preserve"> </w:t>
      </w:r>
      <w:r w:rsidRPr="00824A0F">
        <w:rPr>
          <w:sz w:val="28"/>
          <w:szCs w:val="28"/>
        </w:rPr>
        <w:t>по договорам аренды имущества</w:t>
      </w:r>
      <w:r w:rsidR="00822A13" w:rsidRPr="00824A0F">
        <w:rPr>
          <w:sz w:val="28"/>
          <w:szCs w:val="28"/>
        </w:rPr>
        <w:t xml:space="preserve">. </w:t>
      </w:r>
      <w:r w:rsidR="00824A0F">
        <w:rPr>
          <w:sz w:val="28"/>
          <w:szCs w:val="28"/>
        </w:rPr>
        <w:t xml:space="preserve">В целях снижения задолженности </w:t>
      </w:r>
      <w:r w:rsidR="00824A0F" w:rsidRPr="00824A0F">
        <w:rPr>
          <w:sz w:val="28"/>
          <w:szCs w:val="28"/>
        </w:rPr>
        <w:t>20.06.2018 и 24.12.2018</w:t>
      </w:r>
      <w:r w:rsidRPr="00824A0F">
        <w:rPr>
          <w:sz w:val="28"/>
          <w:szCs w:val="28"/>
        </w:rPr>
        <w:t xml:space="preserve"> выставлен</w:t>
      </w:r>
      <w:r w:rsidR="00824A0F" w:rsidRPr="00824A0F">
        <w:rPr>
          <w:sz w:val="28"/>
          <w:szCs w:val="28"/>
        </w:rPr>
        <w:t>ы</w:t>
      </w:r>
      <w:r w:rsidRPr="00824A0F">
        <w:rPr>
          <w:sz w:val="28"/>
          <w:szCs w:val="28"/>
        </w:rPr>
        <w:t xml:space="preserve"> претензи</w:t>
      </w:r>
      <w:r w:rsidR="00824A0F" w:rsidRPr="00824A0F">
        <w:rPr>
          <w:sz w:val="28"/>
          <w:szCs w:val="28"/>
        </w:rPr>
        <w:t>и</w:t>
      </w:r>
      <w:r w:rsidRPr="00824A0F">
        <w:rPr>
          <w:sz w:val="28"/>
          <w:szCs w:val="28"/>
        </w:rPr>
        <w:t xml:space="preserve"> в адрес АО «ЛГЭК»</w:t>
      </w:r>
      <w:r w:rsidR="00E9644B" w:rsidRPr="00824A0F">
        <w:rPr>
          <w:sz w:val="28"/>
          <w:szCs w:val="28"/>
        </w:rPr>
        <w:t>, ежемесячно направляются письма с требованием погасить задолженность</w:t>
      </w:r>
      <w:r w:rsidR="0018717A" w:rsidRPr="00824A0F">
        <w:rPr>
          <w:sz w:val="28"/>
          <w:szCs w:val="28"/>
        </w:rPr>
        <w:t>.</w:t>
      </w:r>
      <w:r w:rsidR="00824A0F" w:rsidRPr="00824A0F">
        <w:rPr>
          <w:sz w:val="28"/>
          <w:szCs w:val="28"/>
        </w:rPr>
        <w:t xml:space="preserve"> По результатам претензионной работы в декабре 2018 года АО «ЛГЭК» частично погасило задолженность в сумме 10 млн. рублей. </w:t>
      </w:r>
    </w:p>
    <w:p w:rsidR="00950FE7" w:rsidRPr="00A137D2" w:rsidRDefault="00950FE7" w:rsidP="008F2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137D2">
        <w:rPr>
          <w:sz w:val="28"/>
          <w:szCs w:val="28"/>
        </w:rPr>
        <w:t>Просроченная</w:t>
      </w:r>
      <w:proofErr w:type="gramEnd"/>
      <w:r w:rsidRPr="00A137D2">
        <w:rPr>
          <w:sz w:val="28"/>
          <w:szCs w:val="28"/>
        </w:rPr>
        <w:t xml:space="preserve"> задолженность МУП Банно-прачечного хозяйства г. Липецка составила </w:t>
      </w:r>
      <w:r w:rsidR="00007063" w:rsidRPr="00A137D2">
        <w:rPr>
          <w:sz w:val="28"/>
          <w:szCs w:val="28"/>
        </w:rPr>
        <w:t>3,</w:t>
      </w:r>
      <w:r w:rsidR="00A137D2" w:rsidRPr="00A137D2">
        <w:rPr>
          <w:sz w:val="28"/>
          <w:szCs w:val="28"/>
        </w:rPr>
        <w:t>0</w:t>
      </w:r>
      <w:r w:rsidRPr="00A137D2">
        <w:rPr>
          <w:sz w:val="28"/>
          <w:szCs w:val="28"/>
        </w:rPr>
        <w:t xml:space="preserve"> млн. рублей, в т</w:t>
      </w:r>
      <w:r w:rsidR="008169EA" w:rsidRPr="00A137D2">
        <w:rPr>
          <w:sz w:val="28"/>
          <w:szCs w:val="28"/>
        </w:rPr>
        <w:t>ом числе</w:t>
      </w:r>
      <w:r w:rsidRPr="00A137D2">
        <w:rPr>
          <w:sz w:val="28"/>
          <w:szCs w:val="28"/>
        </w:rPr>
        <w:t xml:space="preserve"> </w:t>
      </w:r>
      <w:r w:rsidR="00E9644B" w:rsidRPr="00A137D2">
        <w:rPr>
          <w:sz w:val="28"/>
          <w:szCs w:val="28"/>
        </w:rPr>
        <w:t>9</w:t>
      </w:r>
      <w:r w:rsidR="00A137D2" w:rsidRPr="00A137D2">
        <w:rPr>
          <w:sz w:val="28"/>
          <w:szCs w:val="28"/>
        </w:rPr>
        <w:t>4</w:t>
      </w:r>
      <w:r w:rsidR="00007063" w:rsidRPr="00A137D2">
        <w:rPr>
          <w:sz w:val="28"/>
          <w:szCs w:val="28"/>
        </w:rPr>
        <w:t>%</w:t>
      </w:r>
      <w:r w:rsidR="008169EA" w:rsidRPr="00A137D2">
        <w:rPr>
          <w:sz w:val="28"/>
          <w:szCs w:val="28"/>
        </w:rPr>
        <w:t xml:space="preserve"> - </w:t>
      </w:r>
      <w:r w:rsidR="00007063" w:rsidRPr="00A137D2">
        <w:rPr>
          <w:sz w:val="28"/>
          <w:szCs w:val="28"/>
        </w:rPr>
        <w:t>нереальная к взысканию</w:t>
      </w:r>
      <w:r w:rsidRPr="00A137D2">
        <w:rPr>
          <w:sz w:val="28"/>
          <w:szCs w:val="28"/>
        </w:rPr>
        <w:t>.</w:t>
      </w:r>
      <w:r w:rsidR="004C3E8F" w:rsidRPr="00A137D2">
        <w:rPr>
          <w:sz w:val="28"/>
          <w:szCs w:val="28"/>
        </w:rPr>
        <w:t xml:space="preserve"> На основании инвентаризации дебиторской задолженности на 01.01.2016 создан резервный фонд в сумме 7,3 млн. рублей со сроком погашения до 2020 года. </w:t>
      </w:r>
    </w:p>
    <w:p w:rsidR="008C5855" w:rsidRDefault="00F3508F" w:rsidP="008F2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3508F">
        <w:rPr>
          <w:sz w:val="28"/>
          <w:szCs w:val="28"/>
        </w:rPr>
        <w:t xml:space="preserve">Снижение просроченной </w:t>
      </w:r>
      <w:r w:rsidR="008C5855" w:rsidRPr="00F3508F">
        <w:rPr>
          <w:sz w:val="28"/>
          <w:szCs w:val="28"/>
        </w:rPr>
        <w:t>дебиторской задолженности</w:t>
      </w:r>
      <w:r w:rsidRPr="00F3508F">
        <w:t xml:space="preserve"> </w:t>
      </w:r>
      <w:r w:rsidRPr="00F3508F">
        <w:rPr>
          <w:sz w:val="28"/>
          <w:szCs w:val="28"/>
        </w:rPr>
        <w:t xml:space="preserve">МУП «Зеленхоз» </w:t>
      </w:r>
      <w:r w:rsidR="00221C91">
        <w:rPr>
          <w:sz w:val="28"/>
          <w:szCs w:val="28"/>
        </w:rPr>
        <w:t>связано</w:t>
      </w:r>
      <w:r w:rsidRPr="00F3508F">
        <w:rPr>
          <w:sz w:val="28"/>
          <w:szCs w:val="28"/>
        </w:rPr>
        <w:t xml:space="preserve"> с взысканием задолженности МУ РСДП в сумме 5,3</w:t>
      </w:r>
      <w:r w:rsidRPr="00F3508F">
        <w:t xml:space="preserve"> </w:t>
      </w:r>
      <w:r w:rsidRPr="00F3508F">
        <w:rPr>
          <w:sz w:val="28"/>
          <w:szCs w:val="28"/>
        </w:rPr>
        <w:t>млн. рублей.</w:t>
      </w:r>
      <w:proofErr w:type="gramEnd"/>
      <w:r w:rsidRPr="00F3508F">
        <w:rPr>
          <w:sz w:val="28"/>
          <w:szCs w:val="28"/>
        </w:rPr>
        <w:t xml:space="preserve"> В отношении задолженности ООО «</w:t>
      </w:r>
      <w:proofErr w:type="spellStart"/>
      <w:r w:rsidRPr="00F3508F">
        <w:rPr>
          <w:sz w:val="28"/>
          <w:szCs w:val="28"/>
        </w:rPr>
        <w:t>Стройхолдинг</w:t>
      </w:r>
      <w:proofErr w:type="spellEnd"/>
      <w:proofErr w:type="gramStart"/>
      <w:r w:rsidRPr="00F3508F">
        <w:rPr>
          <w:sz w:val="28"/>
          <w:szCs w:val="28"/>
        </w:rPr>
        <w:t xml:space="preserve"> С</w:t>
      </w:r>
      <w:proofErr w:type="gramEnd"/>
      <w:r w:rsidRPr="00F3508F">
        <w:rPr>
          <w:sz w:val="28"/>
          <w:szCs w:val="28"/>
        </w:rPr>
        <w:t>» в сумме 0,24 млн. рублей</w:t>
      </w:r>
      <w:r w:rsidR="00C8295E">
        <w:rPr>
          <w:sz w:val="28"/>
          <w:szCs w:val="28"/>
        </w:rPr>
        <w:t xml:space="preserve"> выставлена претензия.</w:t>
      </w:r>
    </w:p>
    <w:p w:rsidR="00C8295E" w:rsidRDefault="008C0404" w:rsidP="000E6756">
      <w:pPr>
        <w:tabs>
          <w:tab w:val="left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Задолженность МУП «Липецкпассажиртранс»</w:t>
      </w:r>
      <w:r w:rsidR="000E6756">
        <w:rPr>
          <w:sz w:val="28"/>
          <w:szCs w:val="28"/>
        </w:rPr>
        <w:tab/>
      </w:r>
      <w:r>
        <w:rPr>
          <w:sz w:val="28"/>
          <w:szCs w:val="28"/>
        </w:rPr>
        <w:t xml:space="preserve">в сумме 1,6 </w:t>
      </w:r>
      <w:r w:rsidRPr="008C0404">
        <w:rPr>
          <w:sz w:val="28"/>
          <w:szCs w:val="28"/>
        </w:rPr>
        <w:t xml:space="preserve">млн. рублей </w:t>
      </w:r>
      <w:r>
        <w:rPr>
          <w:sz w:val="28"/>
          <w:szCs w:val="28"/>
        </w:rPr>
        <w:t xml:space="preserve">является нереальной к взысканию и будет списана на финансовый результат по истечении срока исковой давности. </w:t>
      </w:r>
    </w:p>
    <w:p w:rsidR="00824442" w:rsidRDefault="005C1979" w:rsidP="005C1979">
      <w:pPr>
        <w:ind w:firstLine="709"/>
        <w:jc w:val="both"/>
        <w:rPr>
          <w:sz w:val="28"/>
          <w:szCs w:val="28"/>
        </w:rPr>
      </w:pPr>
      <w:r w:rsidRPr="005C1979">
        <w:rPr>
          <w:sz w:val="28"/>
          <w:szCs w:val="28"/>
        </w:rPr>
        <w:t>Структура дебиторской задолженности</w:t>
      </w:r>
      <w:r w:rsidR="00824442">
        <w:rPr>
          <w:sz w:val="28"/>
          <w:szCs w:val="28"/>
        </w:rPr>
        <w:t xml:space="preserve"> предприятий муниципального сектора экономики</w:t>
      </w:r>
      <w:r w:rsidRPr="005C1979">
        <w:rPr>
          <w:sz w:val="28"/>
          <w:szCs w:val="28"/>
        </w:rPr>
        <w:t xml:space="preserve"> </w:t>
      </w:r>
      <w:r w:rsidR="00824442" w:rsidRPr="004B7791">
        <w:rPr>
          <w:sz w:val="28"/>
          <w:szCs w:val="28"/>
        </w:rPr>
        <w:t>приведена без данных МУП «Второе ГЖУ» и МУП «РВЦЛ»</w:t>
      </w:r>
      <w:r w:rsidR="00824442">
        <w:rPr>
          <w:sz w:val="28"/>
          <w:szCs w:val="28"/>
        </w:rPr>
        <w:t>.</w:t>
      </w:r>
    </w:p>
    <w:p w:rsidR="005C1979" w:rsidRDefault="00824442" w:rsidP="005C1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по состоянию на 01.01.2019 </w:t>
      </w:r>
      <w:r w:rsidR="005C1979" w:rsidRPr="005C1979">
        <w:rPr>
          <w:sz w:val="28"/>
          <w:szCs w:val="28"/>
        </w:rPr>
        <w:t xml:space="preserve">сохранилась на прежнем </w:t>
      </w:r>
      <w:proofErr w:type="gramStart"/>
      <w:r w:rsidR="005C1979" w:rsidRPr="005C1979">
        <w:rPr>
          <w:sz w:val="28"/>
          <w:szCs w:val="28"/>
        </w:rPr>
        <w:t>уровне</w:t>
      </w:r>
      <w:proofErr w:type="gramEnd"/>
      <w:r w:rsidR="005C1979" w:rsidRPr="005C1979">
        <w:rPr>
          <w:sz w:val="28"/>
          <w:szCs w:val="28"/>
        </w:rPr>
        <w:t>. Наибольшую долю составила задолженность покупателей и заказчиков - 71,9%, снижение относительно начала года составило 7,2%.</w:t>
      </w:r>
      <w:r w:rsidR="005C1979" w:rsidRPr="005C1979">
        <w:rPr>
          <w:color w:val="0070C0"/>
          <w:sz w:val="28"/>
          <w:szCs w:val="28"/>
        </w:rPr>
        <w:t xml:space="preserve"> </w:t>
      </w:r>
      <w:r w:rsidR="005C1979" w:rsidRPr="005052D2">
        <w:rPr>
          <w:sz w:val="28"/>
          <w:szCs w:val="28"/>
        </w:rPr>
        <w:t xml:space="preserve">Высокое значение данного показателя отмечено в </w:t>
      </w:r>
      <w:r w:rsidR="005052D2" w:rsidRPr="005052D2">
        <w:rPr>
          <w:sz w:val="28"/>
          <w:szCs w:val="28"/>
        </w:rPr>
        <w:t xml:space="preserve">МУП «Липецкводоканал»  </w:t>
      </w:r>
      <w:r w:rsidR="00A43EE8">
        <w:rPr>
          <w:sz w:val="28"/>
          <w:szCs w:val="28"/>
        </w:rPr>
        <w:t>(</w:t>
      </w:r>
      <w:r w:rsidR="005052D2" w:rsidRPr="005052D2">
        <w:rPr>
          <w:sz w:val="28"/>
          <w:szCs w:val="28"/>
        </w:rPr>
        <w:t>80,9 млн. рублей</w:t>
      </w:r>
      <w:r w:rsidR="00A43EE8">
        <w:rPr>
          <w:sz w:val="28"/>
          <w:szCs w:val="28"/>
        </w:rPr>
        <w:t>)</w:t>
      </w:r>
      <w:r w:rsidR="005052D2" w:rsidRPr="005052D2">
        <w:rPr>
          <w:sz w:val="28"/>
          <w:szCs w:val="28"/>
        </w:rPr>
        <w:t xml:space="preserve">, </w:t>
      </w:r>
      <w:r w:rsidR="00A43EE8">
        <w:rPr>
          <w:sz w:val="28"/>
          <w:szCs w:val="28"/>
        </w:rPr>
        <w:t xml:space="preserve">МУП «Липецктеплосеть» (58,4 </w:t>
      </w:r>
      <w:r w:rsidR="00A43EE8" w:rsidRPr="005052D2">
        <w:rPr>
          <w:sz w:val="28"/>
          <w:szCs w:val="28"/>
        </w:rPr>
        <w:t>млн. рублей</w:t>
      </w:r>
      <w:r w:rsidR="00A43EE8">
        <w:rPr>
          <w:sz w:val="28"/>
          <w:szCs w:val="28"/>
        </w:rPr>
        <w:t xml:space="preserve">), </w:t>
      </w:r>
      <w:r w:rsidR="005052D2" w:rsidRPr="005052D2">
        <w:rPr>
          <w:sz w:val="28"/>
          <w:szCs w:val="28"/>
        </w:rPr>
        <w:t xml:space="preserve">МУП </w:t>
      </w:r>
      <w:r w:rsidR="008F5981">
        <w:rPr>
          <w:sz w:val="28"/>
          <w:szCs w:val="28"/>
        </w:rPr>
        <w:t>«АДС городского хозяйства» г. </w:t>
      </w:r>
      <w:r w:rsidR="005052D2" w:rsidRPr="005052D2">
        <w:rPr>
          <w:sz w:val="28"/>
          <w:szCs w:val="28"/>
        </w:rPr>
        <w:t xml:space="preserve">Липецка </w:t>
      </w:r>
      <w:r w:rsidR="00A43EE8">
        <w:rPr>
          <w:sz w:val="28"/>
          <w:szCs w:val="28"/>
        </w:rPr>
        <w:t>(</w:t>
      </w:r>
      <w:r w:rsidR="005052D2" w:rsidRPr="005052D2">
        <w:rPr>
          <w:sz w:val="28"/>
          <w:szCs w:val="28"/>
        </w:rPr>
        <w:t>44,4 млн. рублей</w:t>
      </w:r>
      <w:r w:rsidR="00A43EE8">
        <w:rPr>
          <w:sz w:val="28"/>
          <w:szCs w:val="28"/>
        </w:rPr>
        <w:t>)</w:t>
      </w:r>
      <w:r w:rsidR="005052D2" w:rsidRPr="005052D2">
        <w:rPr>
          <w:sz w:val="28"/>
          <w:szCs w:val="28"/>
        </w:rPr>
        <w:t xml:space="preserve">, </w:t>
      </w:r>
      <w:r w:rsidR="005C1979" w:rsidRPr="005052D2">
        <w:rPr>
          <w:sz w:val="28"/>
          <w:szCs w:val="28"/>
        </w:rPr>
        <w:t>МУП «ЛиСА» (</w:t>
      </w:r>
      <w:r w:rsidR="005052D2" w:rsidRPr="005052D2">
        <w:rPr>
          <w:sz w:val="28"/>
          <w:szCs w:val="28"/>
        </w:rPr>
        <w:t>41,8</w:t>
      </w:r>
      <w:r w:rsidR="005C1979" w:rsidRPr="005052D2">
        <w:rPr>
          <w:sz w:val="28"/>
          <w:szCs w:val="28"/>
        </w:rPr>
        <w:t xml:space="preserve"> млн. рублей)</w:t>
      </w:r>
      <w:r w:rsidR="005052D2" w:rsidRPr="005052D2">
        <w:rPr>
          <w:sz w:val="28"/>
          <w:szCs w:val="28"/>
        </w:rPr>
        <w:t xml:space="preserve">. </w:t>
      </w:r>
    </w:p>
    <w:p w:rsidR="0027150A" w:rsidRPr="005C1979" w:rsidRDefault="0027150A" w:rsidP="003B6D45">
      <w:pPr>
        <w:jc w:val="both"/>
        <w:rPr>
          <w:color w:val="0070C0"/>
          <w:sz w:val="28"/>
          <w:szCs w:val="28"/>
        </w:rPr>
      </w:pPr>
    </w:p>
    <w:p w:rsidR="00BB70DF" w:rsidRPr="000C5E0F" w:rsidRDefault="002E712A" w:rsidP="00DE6C64">
      <w:pPr>
        <w:ind w:firstLine="709"/>
        <w:jc w:val="center"/>
        <w:rPr>
          <w:color w:val="FF0000"/>
          <w:sz w:val="28"/>
          <w:szCs w:val="28"/>
        </w:rPr>
      </w:pPr>
      <w:r w:rsidRPr="000C5E0F">
        <w:rPr>
          <w:noProof/>
          <w:color w:val="FF0000"/>
          <w:sz w:val="28"/>
          <w:szCs w:val="28"/>
        </w:rPr>
        <w:drawing>
          <wp:inline distT="0" distB="0" distL="0" distR="0" wp14:anchorId="712671F0" wp14:editId="6AEDE837">
            <wp:extent cx="5104737" cy="2035534"/>
            <wp:effectExtent l="0" t="0" r="1270" b="317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39DE" w:rsidRDefault="00EB39DE" w:rsidP="004A2462">
      <w:pPr>
        <w:ind w:firstLine="709"/>
        <w:jc w:val="both"/>
        <w:rPr>
          <w:color w:val="FF0000"/>
          <w:sz w:val="28"/>
          <w:szCs w:val="28"/>
        </w:rPr>
      </w:pPr>
    </w:p>
    <w:p w:rsidR="00EB39DE" w:rsidRPr="00EB39DE" w:rsidRDefault="00EB39DE" w:rsidP="004A2462">
      <w:pPr>
        <w:ind w:firstLine="709"/>
        <w:jc w:val="both"/>
        <w:rPr>
          <w:sz w:val="28"/>
          <w:szCs w:val="28"/>
        </w:rPr>
      </w:pPr>
      <w:r w:rsidRPr="00EB39DE">
        <w:rPr>
          <w:sz w:val="28"/>
          <w:szCs w:val="28"/>
        </w:rPr>
        <w:t>Согласно пояснительной записке к бухгалтерскому балансу МУП «РВЦЛ» по состоянию на 31.12.2018,</w:t>
      </w:r>
      <w:r w:rsidR="00F177BE">
        <w:rPr>
          <w:sz w:val="28"/>
          <w:szCs w:val="28"/>
        </w:rPr>
        <w:t xml:space="preserve"> </w:t>
      </w:r>
      <w:proofErr w:type="gramStart"/>
      <w:r w:rsidR="00F177BE">
        <w:rPr>
          <w:sz w:val="28"/>
          <w:szCs w:val="28"/>
        </w:rPr>
        <w:t>дебиторская</w:t>
      </w:r>
      <w:proofErr w:type="gramEnd"/>
      <w:r w:rsidRPr="00EB39DE">
        <w:rPr>
          <w:sz w:val="28"/>
          <w:szCs w:val="28"/>
        </w:rPr>
        <w:t xml:space="preserve"> задолженность </w:t>
      </w:r>
      <w:r w:rsidR="00F177BE">
        <w:rPr>
          <w:sz w:val="28"/>
          <w:szCs w:val="28"/>
        </w:rPr>
        <w:t>МУП составляет</w:t>
      </w:r>
      <w:r w:rsidRPr="00EB39DE">
        <w:rPr>
          <w:sz w:val="28"/>
          <w:szCs w:val="28"/>
        </w:rPr>
        <w:t xml:space="preserve"> 2,5 млн. рублей</w:t>
      </w:r>
      <w:r w:rsidR="00F177BE">
        <w:rPr>
          <w:sz w:val="28"/>
          <w:szCs w:val="28"/>
        </w:rPr>
        <w:t xml:space="preserve">, в т.ч. резерв по сомнительным долгам 2,5 </w:t>
      </w:r>
      <w:r w:rsidR="00F177BE" w:rsidRPr="00F177BE">
        <w:rPr>
          <w:sz w:val="28"/>
          <w:szCs w:val="28"/>
        </w:rPr>
        <w:t>млн. рублей</w:t>
      </w:r>
      <w:r w:rsidR="00F177BE">
        <w:rPr>
          <w:sz w:val="28"/>
          <w:szCs w:val="28"/>
        </w:rPr>
        <w:t>.</w:t>
      </w:r>
    </w:p>
    <w:p w:rsidR="004A2462" w:rsidRPr="000C5E0F" w:rsidRDefault="004A2462" w:rsidP="004A2462">
      <w:pPr>
        <w:ind w:firstLine="709"/>
        <w:jc w:val="both"/>
        <w:rPr>
          <w:color w:val="FF0000"/>
          <w:sz w:val="28"/>
          <w:szCs w:val="28"/>
        </w:rPr>
      </w:pPr>
      <w:r w:rsidRPr="00EB363F">
        <w:rPr>
          <w:sz w:val="28"/>
          <w:szCs w:val="28"/>
        </w:rPr>
        <w:t>По результатам анализа соотношения дебиторской и кредиторской задолженности предприятий, превышение оптимального соотношения, равного 1, наблюдается в МУП «Липецктеплосеть» (</w:t>
      </w:r>
      <w:r w:rsidR="008C2D58" w:rsidRPr="00EB363F">
        <w:rPr>
          <w:sz w:val="28"/>
          <w:szCs w:val="28"/>
        </w:rPr>
        <w:t xml:space="preserve">значение коэффициента </w:t>
      </w:r>
      <w:r w:rsidR="00EB363F" w:rsidRPr="00EB363F">
        <w:rPr>
          <w:sz w:val="28"/>
          <w:szCs w:val="28"/>
        </w:rPr>
        <w:t>7,0</w:t>
      </w:r>
      <w:r w:rsidRPr="00EB363F">
        <w:rPr>
          <w:sz w:val="28"/>
          <w:szCs w:val="28"/>
        </w:rPr>
        <w:t>)</w:t>
      </w:r>
      <w:r w:rsidR="00A23601" w:rsidRPr="00EB363F">
        <w:rPr>
          <w:sz w:val="28"/>
          <w:szCs w:val="28"/>
        </w:rPr>
        <w:t>,</w:t>
      </w:r>
      <w:r w:rsidR="00237AC5" w:rsidRPr="00EB363F">
        <w:rPr>
          <w:sz w:val="28"/>
          <w:szCs w:val="28"/>
        </w:rPr>
        <w:t xml:space="preserve"> </w:t>
      </w:r>
      <w:r w:rsidR="00B31549" w:rsidRPr="00EB363F">
        <w:rPr>
          <w:sz w:val="28"/>
          <w:szCs w:val="28"/>
        </w:rPr>
        <w:t>«Горэлектросеть» г. Липецка (</w:t>
      </w:r>
      <w:r w:rsidR="00EB363F" w:rsidRPr="00EB363F">
        <w:rPr>
          <w:sz w:val="28"/>
          <w:szCs w:val="28"/>
        </w:rPr>
        <w:t>5,9</w:t>
      </w:r>
      <w:r w:rsidR="00B31549" w:rsidRPr="00EB363F">
        <w:rPr>
          <w:sz w:val="28"/>
          <w:szCs w:val="28"/>
        </w:rPr>
        <w:t xml:space="preserve">) и </w:t>
      </w:r>
      <w:r w:rsidRPr="00EB363F">
        <w:rPr>
          <w:sz w:val="28"/>
          <w:szCs w:val="28"/>
        </w:rPr>
        <w:t>«Липецкводоканал» (</w:t>
      </w:r>
      <w:r w:rsidR="00B31549" w:rsidRPr="00EB363F">
        <w:rPr>
          <w:sz w:val="28"/>
          <w:szCs w:val="28"/>
        </w:rPr>
        <w:t>4</w:t>
      </w:r>
      <w:r w:rsidR="00EB363F" w:rsidRPr="00EB363F">
        <w:rPr>
          <w:sz w:val="28"/>
          <w:szCs w:val="28"/>
        </w:rPr>
        <w:t>,5</w:t>
      </w:r>
      <w:r w:rsidRPr="00EB363F">
        <w:rPr>
          <w:sz w:val="28"/>
          <w:szCs w:val="28"/>
        </w:rPr>
        <w:t>)</w:t>
      </w:r>
      <w:r w:rsidR="00A23601" w:rsidRPr="00EB363F">
        <w:rPr>
          <w:sz w:val="28"/>
          <w:szCs w:val="28"/>
        </w:rPr>
        <w:t xml:space="preserve"> </w:t>
      </w:r>
      <w:r w:rsidRPr="00EB363F">
        <w:rPr>
          <w:sz w:val="28"/>
          <w:szCs w:val="28"/>
        </w:rPr>
        <w:t>из-за значительного размера дебиторской задолженности АО «ЛГЭК» по договорам аренды имущества, что влечет за собой  отвлечение денежных средств из оборота предприятий.</w:t>
      </w:r>
      <w:r w:rsidR="00EB363F" w:rsidRPr="00EB363F">
        <w:rPr>
          <w:sz w:val="28"/>
          <w:szCs w:val="28"/>
        </w:rPr>
        <w:t xml:space="preserve"> </w:t>
      </w:r>
      <w:r w:rsidR="00EB363F" w:rsidRPr="00A94671">
        <w:rPr>
          <w:sz w:val="28"/>
          <w:szCs w:val="28"/>
        </w:rPr>
        <w:t>Общая сумма задолженности АО «ЛГЭК» перед предприятиями состав</w:t>
      </w:r>
      <w:r w:rsidR="008B6AD8" w:rsidRPr="00A94671">
        <w:rPr>
          <w:sz w:val="28"/>
          <w:szCs w:val="28"/>
        </w:rPr>
        <w:t>ила</w:t>
      </w:r>
      <w:r w:rsidR="00EB363F" w:rsidRPr="00A94671">
        <w:rPr>
          <w:sz w:val="28"/>
          <w:szCs w:val="28"/>
        </w:rPr>
        <w:t xml:space="preserve"> </w:t>
      </w:r>
      <w:r w:rsidR="008B6AD8" w:rsidRPr="00A94671">
        <w:rPr>
          <w:sz w:val="28"/>
          <w:szCs w:val="28"/>
        </w:rPr>
        <w:t>138,2 млн. рублей, в т.ч. просроченная 103,7</w:t>
      </w:r>
      <w:r w:rsidR="008B6AD8" w:rsidRPr="00A94671">
        <w:t xml:space="preserve"> </w:t>
      </w:r>
      <w:r w:rsidR="008B6AD8" w:rsidRPr="00A94671">
        <w:rPr>
          <w:sz w:val="28"/>
          <w:szCs w:val="28"/>
        </w:rPr>
        <w:t>млн. рублей.</w:t>
      </w:r>
    </w:p>
    <w:p w:rsidR="004A2462" w:rsidRDefault="004A2462" w:rsidP="004A2462">
      <w:pPr>
        <w:ind w:firstLine="709"/>
        <w:jc w:val="both"/>
        <w:rPr>
          <w:sz w:val="28"/>
          <w:szCs w:val="28"/>
        </w:rPr>
      </w:pPr>
      <w:r w:rsidRPr="0023784A">
        <w:rPr>
          <w:sz w:val="28"/>
          <w:szCs w:val="28"/>
        </w:rPr>
        <w:t>Знач</w:t>
      </w:r>
      <w:r w:rsidR="0023784A">
        <w:rPr>
          <w:sz w:val="28"/>
          <w:szCs w:val="28"/>
        </w:rPr>
        <w:t xml:space="preserve">ительно ниже оптимального </w:t>
      </w:r>
      <w:r w:rsidRPr="0023784A">
        <w:rPr>
          <w:sz w:val="28"/>
          <w:szCs w:val="28"/>
        </w:rPr>
        <w:t>показател</w:t>
      </w:r>
      <w:r w:rsidR="0023784A">
        <w:rPr>
          <w:sz w:val="28"/>
          <w:szCs w:val="28"/>
        </w:rPr>
        <w:t xml:space="preserve">ь </w:t>
      </w:r>
      <w:r w:rsidR="0023784A" w:rsidRPr="0023784A">
        <w:rPr>
          <w:sz w:val="28"/>
          <w:szCs w:val="28"/>
        </w:rPr>
        <w:t>соотношения дебиторской и кредиторской задолженности</w:t>
      </w:r>
      <w:r w:rsidR="0023784A">
        <w:rPr>
          <w:sz w:val="28"/>
          <w:szCs w:val="28"/>
        </w:rPr>
        <w:t xml:space="preserve"> </w:t>
      </w:r>
      <w:r w:rsidRPr="0023784A">
        <w:rPr>
          <w:sz w:val="28"/>
          <w:szCs w:val="28"/>
        </w:rPr>
        <w:t>в МУП</w:t>
      </w:r>
      <w:r w:rsidR="00B31549" w:rsidRPr="0023784A">
        <w:rPr>
          <w:sz w:val="28"/>
          <w:szCs w:val="28"/>
        </w:rPr>
        <w:t xml:space="preserve"> </w:t>
      </w:r>
      <w:r w:rsidR="0023784A" w:rsidRPr="0023784A">
        <w:rPr>
          <w:sz w:val="28"/>
          <w:szCs w:val="28"/>
        </w:rPr>
        <w:t>«БПХ» (0,2)</w:t>
      </w:r>
      <w:r w:rsidR="00EB363F" w:rsidRPr="0023784A">
        <w:rPr>
          <w:sz w:val="28"/>
          <w:szCs w:val="28"/>
        </w:rPr>
        <w:t xml:space="preserve">, </w:t>
      </w:r>
      <w:r w:rsidRPr="0023784A">
        <w:rPr>
          <w:sz w:val="28"/>
          <w:szCs w:val="28"/>
        </w:rPr>
        <w:t>что создает угрозу финансовому положению предприяти</w:t>
      </w:r>
      <w:r w:rsidR="0023784A" w:rsidRPr="0023784A">
        <w:rPr>
          <w:sz w:val="28"/>
          <w:szCs w:val="28"/>
        </w:rPr>
        <w:t>я</w:t>
      </w:r>
      <w:r w:rsidRPr="0023784A">
        <w:rPr>
          <w:sz w:val="28"/>
          <w:szCs w:val="28"/>
        </w:rPr>
        <w:t xml:space="preserve"> </w:t>
      </w:r>
      <w:r w:rsidR="00403D06" w:rsidRPr="0023784A">
        <w:rPr>
          <w:sz w:val="28"/>
          <w:szCs w:val="28"/>
        </w:rPr>
        <w:t xml:space="preserve">из-за </w:t>
      </w:r>
      <w:r w:rsidRPr="0023784A">
        <w:rPr>
          <w:sz w:val="28"/>
          <w:szCs w:val="28"/>
        </w:rPr>
        <w:t xml:space="preserve">невозможности погашения своих обязательств </w:t>
      </w:r>
      <w:r w:rsidR="00403D06" w:rsidRPr="0023784A">
        <w:rPr>
          <w:sz w:val="28"/>
          <w:szCs w:val="28"/>
        </w:rPr>
        <w:t xml:space="preserve">по причине </w:t>
      </w:r>
      <w:r w:rsidRPr="0023784A">
        <w:rPr>
          <w:sz w:val="28"/>
          <w:szCs w:val="28"/>
        </w:rPr>
        <w:t xml:space="preserve">отсутствия </w:t>
      </w:r>
      <w:r w:rsidR="0023784A">
        <w:rPr>
          <w:sz w:val="28"/>
          <w:szCs w:val="28"/>
        </w:rPr>
        <w:t xml:space="preserve">денежных </w:t>
      </w:r>
      <w:r w:rsidRPr="0023784A">
        <w:rPr>
          <w:sz w:val="28"/>
          <w:szCs w:val="28"/>
        </w:rPr>
        <w:t xml:space="preserve">средств. </w:t>
      </w:r>
    </w:p>
    <w:p w:rsidR="0058100C" w:rsidRPr="00AE6D4E" w:rsidRDefault="006E2C57" w:rsidP="004A24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Соотношение</w:t>
      </w:r>
      <w:r w:rsidRPr="006E2C57">
        <w:t xml:space="preserve"> </w:t>
      </w:r>
      <w:r w:rsidRPr="006E2C57">
        <w:rPr>
          <w:sz w:val="28"/>
          <w:szCs w:val="28"/>
        </w:rPr>
        <w:t>дебиторской и кредиторской задолженности</w:t>
      </w:r>
      <w:r>
        <w:rPr>
          <w:sz w:val="28"/>
          <w:szCs w:val="28"/>
        </w:rPr>
        <w:t xml:space="preserve"> МУП «АДС  </w:t>
      </w:r>
      <w:r w:rsidR="00D65B0D" w:rsidRPr="00D65B0D">
        <w:rPr>
          <w:sz w:val="28"/>
          <w:szCs w:val="28"/>
        </w:rPr>
        <w:t>городского хозяйства»</w:t>
      </w:r>
      <w:r w:rsidR="00D65B0D">
        <w:rPr>
          <w:sz w:val="28"/>
          <w:szCs w:val="28"/>
        </w:rPr>
        <w:t xml:space="preserve"> составляет 0,8, </w:t>
      </w:r>
      <w:r w:rsidR="008A0C4E">
        <w:rPr>
          <w:sz w:val="28"/>
          <w:szCs w:val="28"/>
        </w:rPr>
        <w:t>однако</w:t>
      </w:r>
      <w:r w:rsidR="00D65B0D">
        <w:rPr>
          <w:sz w:val="28"/>
          <w:szCs w:val="28"/>
        </w:rPr>
        <w:t xml:space="preserve"> д</w:t>
      </w:r>
      <w:r w:rsidR="00D936EE">
        <w:rPr>
          <w:sz w:val="28"/>
          <w:szCs w:val="28"/>
        </w:rPr>
        <w:t>оля просроченной задолженности в сумме дебиторской задолженности МУП</w:t>
      </w:r>
      <w:r w:rsidR="008A0C4E">
        <w:rPr>
          <w:sz w:val="28"/>
          <w:szCs w:val="28"/>
        </w:rPr>
        <w:t xml:space="preserve"> </w:t>
      </w:r>
      <w:r w:rsidR="00D936EE">
        <w:rPr>
          <w:sz w:val="28"/>
          <w:szCs w:val="28"/>
        </w:rPr>
        <w:t>составляет 92%. Задолженность перед бюджетом по налогам и сборам</w:t>
      </w:r>
      <w:r>
        <w:rPr>
          <w:sz w:val="28"/>
          <w:szCs w:val="28"/>
        </w:rPr>
        <w:t xml:space="preserve"> по состоянию на 01.01.2019</w:t>
      </w:r>
      <w:r w:rsidR="00D936EE">
        <w:rPr>
          <w:sz w:val="28"/>
          <w:szCs w:val="28"/>
        </w:rPr>
        <w:t xml:space="preserve"> составляет 29,6 млн. рублей, в т.ч. просроченная 27,3 </w:t>
      </w:r>
      <w:r w:rsidR="00D936EE" w:rsidRPr="00D936EE">
        <w:rPr>
          <w:sz w:val="28"/>
          <w:szCs w:val="28"/>
        </w:rPr>
        <w:t>млн. рублей</w:t>
      </w:r>
      <w:r w:rsidR="00D936EE">
        <w:rPr>
          <w:sz w:val="28"/>
          <w:szCs w:val="28"/>
        </w:rPr>
        <w:t>.</w:t>
      </w:r>
      <w:proofErr w:type="gramEnd"/>
      <w:r w:rsidR="00D936EE">
        <w:rPr>
          <w:sz w:val="28"/>
          <w:szCs w:val="28"/>
        </w:rPr>
        <w:t xml:space="preserve"> </w:t>
      </w:r>
      <w:r w:rsidRPr="00BF23E1">
        <w:rPr>
          <w:sz w:val="28"/>
          <w:szCs w:val="28"/>
        </w:rPr>
        <w:t xml:space="preserve">В настоящее время в Арбитражном суде Липецкой области рассматривается иск ФНС России в лице ИФНС России по Правобережному району г. Липецка о признании МУП несостоятельным </w:t>
      </w:r>
      <w:r w:rsidRPr="00BF23E1">
        <w:rPr>
          <w:sz w:val="28"/>
          <w:szCs w:val="28"/>
        </w:rPr>
        <w:lastRenderedPageBreak/>
        <w:t>(банкротом).</w:t>
      </w:r>
      <w:r w:rsidR="00BF23E1" w:rsidRPr="00BF23E1">
        <w:rPr>
          <w:sz w:val="28"/>
          <w:szCs w:val="28"/>
        </w:rPr>
        <w:t xml:space="preserve"> Дата следующего судебного</w:t>
      </w:r>
      <w:r w:rsidR="00BF23E1">
        <w:rPr>
          <w:sz w:val="28"/>
          <w:szCs w:val="28"/>
        </w:rPr>
        <w:t xml:space="preserve"> разбирательства назначена на </w:t>
      </w:r>
      <w:r w:rsidR="00BF23E1" w:rsidRPr="00AE6D4E">
        <w:rPr>
          <w:sz w:val="28"/>
          <w:szCs w:val="28"/>
        </w:rPr>
        <w:t xml:space="preserve">07.05.2019. </w:t>
      </w:r>
    </w:p>
    <w:p w:rsidR="003D7963" w:rsidRPr="00AE6D4E" w:rsidRDefault="003D7963" w:rsidP="003D7963">
      <w:pPr>
        <w:ind w:firstLine="709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По результатам мониторинга департамент экономического развития рекомендует департаментам, исполняющим функции и полномочия учредителя:</w:t>
      </w:r>
    </w:p>
    <w:p w:rsidR="006823DF" w:rsidRPr="00AE6D4E" w:rsidRDefault="006823DF" w:rsidP="003D7963">
      <w:pPr>
        <w:ind w:firstLine="709"/>
        <w:jc w:val="both"/>
        <w:rPr>
          <w:sz w:val="28"/>
          <w:szCs w:val="28"/>
        </w:rPr>
      </w:pPr>
      <w:r w:rsidRPr="00AE6D4E">
        <w:rPr>
          <w:sz w:val="28"/>
          <w:szCs w:val="28"/>
        </w:rPr>
        <w:t xml:space="preserve">1. МУП Банно-прачечного хозяйства г. Липецка – до 01.08.2019 представить в департамент экономического развития план мероприятий по снижению кредиторской задолженности предприятия. </w:t>
      </w:r>
    </w:p>
    <w:p w:rsidR="00DC5F04" w:rsidRPr="00AE6D4E" w:rsidRDefault="006823DF" w:rsidP="00DC5F04">
      <w:pPr>
        <w:ind w:firstLine="709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2. МУП «АДС городского хозяйства» г. Липецка –</w:t>
      </w:r>
      <w:r w:rsidR="00DC5F04" w:rsidRPr="00AE6D4E">
        <w:rPr>
          <w:sz w:val="28"/>
          <w:szCs w:val="28"/>
        </w:rPr>
        <w:t xml:space="preserve"> ежемесячно, в срок до 30 числа месяца следующего за отчетным, представлять в департамент экономического развития информацию </w:t>
      </w:r>
      <w:proofErr w:type="gramStart"/>
      <w:r w:rsidR="00DC5F04" w:rsidRPr="00AE6D4E">
        <w:rPr>
          <w:sz w:val="28"/>
          <w:szCs w:val="28"/>
        </w:rPr>
        <w:t>о</w:t>
      </w:r>
      <w:proofErr w:type="gramEnd"/>
      <w:r w:rsidR="00DC5F04" w:rsidRPr="00AE6D4E">
        <w:rPr>
          <w:sz w:val="28"/>
          <w:szCs w:val="28"/>
        </w:rPr>
        <w:t xml:space="preserve"> кредиторской и дебиторской задолженности.</w:t>
      </w:r>
    </w:p>
    <w:p w:rsidR="00AE6D4E" w:rsidRPr="00AE6D4E" w:rsidRDefault="004F0BCA" w:rsidP="004F0B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3</w:t>
      </w:r>
      <w:r w:rsidR="003D7963" w:rsidRPr="00AE6D4E">
        <w:rPr>
          <w:sz w:val="28"/>
          <w:szCs w:val="28"/>
        </w:rPr>
        <w:t>.</w:t>
      </w:r>
      <w:r w:rsidR="003D7963" w:rsidRPr="00AE6D4E">
        <w:rPr>
          <w:sz w:val="28"/>
          <w:szCs w:val="28"/>
        </w:rPr>
        <w:tab/>
      </w:r>
      <w:r w:rsidR="00AE6D4E" w:rsidRPr="00AE6D4E">
        <w:rPr>
          <w:sz w:val="28"/>
          <w:szCs w:val="28"/>
        </w:rPr>
        <w:t>МУ РСДП – обеспечить представление</w:t>
      </w:r>
      <w:r w:rsidR="00AE6D4E" w:rsidRPr="00AE6D4E">
        <w:t xml:space="preserve"> </w:t>
      </w:r>
      <w:r w:rsidR="00AE6D4E" w:rsidRPr="00AE6D4E">
        <w:rPr>
          <w:sz w:val="28"/>
          <w:szCs w:val="28"/>
        </w:rPr>
        <w:t xml:space="preserve">в департамент экономического развития информации </w:t>
      </w:r>
      <w:proofErr w:type="gramStart"/>
      <w:r w:rsidR="00AE6D4E" w:rsidRPr="00AE6D4E">
        <w:rPr>
          <w:sz w:val="28"/>
          <w:szCs w:val="28"/>
        </w:rPr>
        <w:t>о</w:t>
      </w:r>
      <w:proofErr w:type="gramEnd"/>
      <w:r w:rsidR="00AE6D4E" w:rsidRPr="00AE6D4E">
        <w:rPr>
          <w:sz w:val="28"/>
          <w:szCs w:val="28"/>
        </w:rPr>
        <w:t xml:space="preserve"> дебиторской и кредиторской задолженности. </w:t>
      </w:r>
    </w:p>
    <w:p w:rsidR="003D7963" w:rsidRPr="00AE6D4E" w:rsidRDefault="00F2794A" w:rsidP="004F0B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3D7963" w:rsidRPr="00AE6D4E">
        <w:rPr>
          <w:sz w:val="28"/>
          <w:szCs w:val="28"/>
        </w:rPr>
        <w:t xml:space="preserve"> целью исключения искажения бухгалтерской отчетности</w:t>
      </w:r>
      <w:r>
        <w:rPr>
          <w:sz w:val="28"/>
          <w:szCs w:val="28"/>
        </w:rPr>
        <w:t>, муниципальным предприятиям города Липецка</w:t>
      </w:r>
      <w:r w:rsidR="003D7963" w:rsidRPr="00AE6D4E">
        <w:rPr>
          <w:sz w:val="28"/>
          <w:szCs w:val="28"/>
        </w:rPr>
        <w:t xml:space="preserve"> своевременно списы</w:t>
      </w:r>
      <w:r>
        <w:rPr>
          <w:sz w:val="28"/>
          <w:szCs w:val="28"/>
        </w:rPr>
        <w:t xml:space="preserve">вать просроченные обязательства </w:t>
      </w:r>
      <w:r w:rsidR="003D7963" w:rsidRPr="00AE6D4E">
        <w:rPr>
          <w:sz w:val="28"/>
          <w:szCs w:val="28"/>
        </w:rPr>
        <w:t>в случае истечения сроков исковой давности, определенных гражданским законодательством Российской Федерации.</w:t>
      </w:r>
    </w:p>
    <w:p w:rsidR="004F0BCA" w:rsidRDefault="004F0BCA" w:rsidP="004F0BCA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25A95" w:rsidRPr="000C5E0F" w:rsidRDefault="00C25A95" w:rsidP="005544A0">
      <w:pPr>
        <w:jc w:val="both"/>
        <w:rPr>
          <w:color w:val="FF0000"/>
        </w:rPr>
      </w:pPr>
    </w:p>
    <w:p w:rsidR="00C25A95" w:rsidRPr="000C5E0F" w:rsidRDefault="00C25A95" w:rsidP="005544A0">
      <w:pPr>
        <w:jc w:val="both"/>
        <w:rPr>
          <w:color w:val="FF0000"/>
        </w:rPr>
      </w:pPr>
    </w:p>
    <w:p w:rsidR="00C25A95" w:rsidRPr="000C5E0F" w:rsidRDefault="00C25A95" w:rsidP="005544A0">
      <w:pPr>
        <w:jc w:val="both"/>
        <w:rPr>
          <w:color w:val="FF0000"/>
        </w:rPr>
      </w:pPr>
    </w:p>
    <w:p w:rsidR="00C25A95" w:rsidRPr="000C5E0F" w:rsidRDefault="00C25A95" w:rsidP="005544A0">
      <w:pPr>
        <w:jc w:val="both"/>
        <w:rPr>
          <w:color w:val="FF0000"/>
        </w:rPr>
      </w:pPr>
    </w:p>
    <w:p w:rsidR="00C25A95" w:rsidRPr="000C5E0F" w:rsidRDefault="00C25A95" w:rsidP="005544A0">
      <w:pPr>
        <w:jc w:val="both"/>
        <w:rPr>
          <w:color w:val="FF0000"/>
        </w:rPr>
      </w:pPr>
    </w:p>
    <w:p w:rsidR="00D363BF" w:rsidRPr="000C5E0F" w:rsidRDefault="00D363BF" w:rsidP="005544A0">
      <w:pPr>
        <w:jc w:val="both"/>
        <w:rPr>
          <w:color w:val="FF0000"/>
        </w:rPr>
      </w:pPr>
    </w:p>
    <w:sectPr w:rsidR="00D363BF" w:rsidRPr="000C5E0F" w:rsidSect="00865D72">
      <w:headerReference w:type="even" r:id="rId13"/>
      <w:headerReference w:type="default" r:id="rId14"/>
      <w:pgSz w:w="11906" w:h="16838" w:code="9"/>
      <w:pgMar w:top="1134" w:right="567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EE" w:rsidRDefault="007178EE">
      <w:r>
        <w:separator/>
      </w:r>
    </w:p>
  </w:endnote>
  <w:endnote w:type="continuationSeparator" w:id="0">
    <w:p w:rsidR="007178EE" w:rsidRDefault="007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EE" w:rsidRDefault="007178EE">
      <w:r>
        <w:separator/>
      </w:r>
    </w:p>
  </w:footnote>
  <w:footnote w:type="continuationSeparator" w:id="0">
    <w:p w:rsidR="007178EE" w:rsidRDefault="0071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2B" w:rsidRDefault="00B03A2B" w:rsidP="00826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94A">
      <w:rPr>
        <w:rStyle w:val="a5"/>
        <w:noProof/>
      </w:rPr>
      <w:t>6</w:t>
    </w:r>
    <w:r>
      <w:rPr>
        <w:rStyle w:val="a5"/>
      </w:rPr>
      <w:fldChar w:fldCharType="end"/>
    </w:r>
  </w:p>
  <w:p w:rsidR="00B03A2B" w:rsidRDefault="00B03A2B" w:rsidP="00826C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2D" w:rsidRDefault="002D45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794A">
      <w:rPr>
        <w:noProof/>
      </w:rPr>
      <w:t>7</w:t>
    </w:r>
    <w:r>
      <w:fldChar w:fldCharType="end"/>
    </w:r>
  </w:p>
  <w:p w:rsidR="00B03A2B" w:rsidRDefault="00B03A2B" w:rsidP="00826C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0A0"/>
    <w:multiLevelType w:val="hybridMultilevel"/>
    <w:tmpl w:val="D27218EA"/>
    <w:lvl w:ilvl="0" w:tplc="7A28D9B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4DF8"/>
    <w:multiLevelType w:val="hybridMultilevel"/>
    <w:tmpl w:val="3B520836"/>
    <w:lvl w:ilvl="0" w:tplc="3BFA5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A7269C"/>
    <w:multiLevelType w:val="hybridMultilevel"/>
    <w:tmpl w:val="E982A65A"/>
    <w:lvl w:ilvl="0" w:tplc="DE526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C2D62"/>
    <w:multiLevelType w:val="hybridMultilevel"/>
    <w:tmpl w:val="92A2EC28"/>
    <w:lvl w:ilvl="0" w:tplc="96048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6A641A"/>
    <w:multiLevelType w:val="hybridMultilevel"/>
    <w:tmpl w:val="E2C66EDA"/>
    <w:lvl w:ilvl="0" w:tplc="17E89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356F4C"/>
    <w:multiLevelType w:val="hybridMultilevel"/>
    <w:tmpl w:val="24C86A58"/>
    <w:lvl w:ilvl="0" w:tplc="F2A40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EC5F4A"/>
    <w:multiLevelType w:val="hybridMultilevel"/>
    <w:tmpl w:val="3C364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52D81"/>
    <w:multiLevelType w:val="hybridMultilevel"/>
    <w:tmpl w:val="31E453D2"/>
    <w:lvl w:ilvl="0" w:tplc="0DF4BA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4119E3"/>
    <w:multiLevelType w:val="hybridMultilevel"/>
    <w:tmpl w:val="B1242CEC"/>
    <w:lvl w:ilvl="0" w:tplc="E4FC4D5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9B5691"/>
    <w:multiLevelType w:val="hybridMultilevel"/>
    <w:tmpl w:val="83DC1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4"/>
    <w:rsid w:val="00000A03"/>
    <w:rsid w:val="000021DF"/>
    <w:rsid w:val="00002C6F"/>
    <w:rsid w:val="00003D00"/>
    <w:rsid w:val="00007063"/>
    <w:rsid w:val="00007324"/>
    <w:rsid w:val="000073BB"/>
    <w:rsid w:val="00007E3D"/>
    <w:rsid w:val="000111AA"/>
    <w:rsid w:val="00011221"/>
    <w:rsid w:val="0001199D"/>
    <w:rsid w:val="00014360"/>
    <w:rsid w:val="00014AEF"/>
    <w:rsid w:val="00021687"/>
    <w:rsid w:val="00021E31"/>
    <w:rsid w:val="00021EB6"/>
    <w:rsid w:val="00022B6D"/>
    <w:rsid w:val="000238EA"/>
    <w:rsid w:val="00023B34"/>
    <w:rsid w:val="000255F0"/>
    <w:rsid w:val="00025CC4"/>
    <w:rsid w:val="0002706B"/>
    <w:rsid w:val="000307FD"/>
    <w:rsid w:val="0003209F"/>
    <w:rsid w:val="00032C1A"/>
    <w:rsid w:val="000332E9"/>
    <w:rsid w:val="00034C01"/>
    <w:rsid w:val="00036D2D"/>
    <w:rsid w:val="00037EF9"/>
    <w:rsid w:val="00040027"/>
    <w:rsid w:val="000403A7"/>
    <w:rsid w:val="000408C3"/>
    <w:rsid w:val="00040FB0"/>
    <w:rsid w:val="000416FB"/>
    <w:rsid w:val="00042775"/>
    <w:rsid w:val="00042D6D"/>
    <w:rsid w:val="00043915"/>
    <w:rsid w:val="00045174"/>
    <w:rsid w:val="0005089B"/>
    <w:rsid w:val="0005654E"/>
    <w:rsid w:val="00063CD5"/>
    <w:rsid w:val="0006451C"/>
    <w:rsid w:val="00064EFA"/>
    <w:rsid w:val="000650BC"/>
    <w:rsid w:val="00071BF9"/>
    <w:rsid w:val="00071FA8"/>
    <w:rsid w:val="0007328F"/>
    <w:rsid w:val="0007354D"/>
    <w:rsid w:val="00074885"/>
    <w:rsid w:val="000750A2"/>
    <w:rsid w:val="000752BF"/>
    <w:rsid w:val="000756EF"/>
    <w:rsid w:val="00075A19"/>
    <w:rsid w:val="00076632"/>
    <w:rsid w:val="00077187"/>
    <w:rsid w:val="000771C6"/>
    <w:rsid w:val="00080CF7"/>
    <w:rsid w:val="00084321"/>
    <w:rsid w:val="00085B9A"/>
    <w:rsid w:val="000863A9"/>
    <w:rsid w:val="000872E1"/>
    <w:rsid w:val="00087D03"/>
    <w:rsid w:val="000903D0"/>
    <w:rsid w:val="000909E7"/>
    <w:rsid w:val="00090E4C"/>
    <w:rsid w:val="000917BE"/>
    <w:rsid w:val="0009267D"/>
    <w:rsid w:val="00093569"/>
    <w:rsid w:val="00095D50"/>
    <w:rsid w:val="000A6582"/>
    <w:rsid w:val="000B0224"/>
    <w:rsid w:val="000B1AAC"/>
    <w:rsid w:val="000B2FF3"/>
    <w:rsid w:val="000B344B"/>
    <w:rsid w:val="000B3E06"/>
    <w:rsid w:val="000B4BE8"/>
    <w:rsid w:val="000B6C06"/>
    <w:rsid w:val="000B7FE1"/>
    <w:rsid w:val="000C15BC"/>
    <w:rsid w:val="000C299F"/>
    <w:rsid w:val="000C4C32"/>
    <w:rsid w:val="000C5126"/>
    <w:rsid w:val="000C567E"/>
    <w:rsid w:val="000C5E0F"/>
    <w:rsid w:val="000C70E1"/>
    <w:rsid w:val="000C7B79"/>
    <w:rsid w:val="000D2355"/>
    <w:rsid w:val="000D483B"/>
    <w:rsid w:val="000D4FD0"/>
    <w:rsid w:val="000D5A3C"/>
    <w:rsid w:val="000D5FE6"/>
    <w:rsid w:val="000D69D0"/>
    <w:rsid w:val="000D6EEF"/>
    <w:rsid w:val="000E13FF"/>
    <w:rsid w:val="000E211B"/>
    <w:rsid w:val="000E34B2"/>
    <w:rsid w:val="000E350B"/>
    <w:rsid w:val="000E491D"/>
    <w:rsid w:val="000E5382"/>
    <w:rsid w:val="000E6756"/>
    <w:rsid w:val="000E7370"/>
    <w:rsid w:val="000F2983"/>
    <w:rsid w:val="000F3C44"/>
    <w:rsid w:val="000F54BD"/>
    <w:rsid w:val="000F7A02"/>
    <w:rsid w:val="00103140"/>
    <w:rsid w:val="00104197"/>
    <w:rsid w:val="001053A6"/>
    <w:rsid w:val="00105ECF"/>
    <w:rsid w:val="00106C49"/>
    <w:rsid w:val="001079C9"/>
    <w:rsid w:val="00107BD1"/>
    <w:rsid w:val="001101D1"/>
    <w:rsid w:val="00110751"/>
    <w:rsid w:val="00113FF1"/>
    <w:rsid w:val="00114386"/>
    <w:rsid w:val="00114BA8"/>
    <w:rsid w:val="0011589B"/>
    <w:rsid w:val="0011794C"/>
    <w:rsid w:val="00117DEF"/>
    <w:rsid w:val="00120FA4"/>
    <w:rsid w:val="001211BA"/>
    <w:rsid w:val="00121264"/>
    <w:rsid w:val="00121C84"/>
    <w:rsid w:val="001259B7"/>
    <w:rsid w:val="00126362"/>
    <w:rsid w:val="001307FB"/>
    <w:rsid w:val="00130958"/>
    <w:rsid w:val="00137645"/>
    <w:rsid w:val="001378DA"/>
    <w:rsid w:val="0014062F"/>
    <w:rsid w:val="00140ACA"/>
    <w:rsid w:val="00143021"/>
    <w:rsid w:val="001435A7"/>
    <w:rsid w:val="00143A4D"/>
    <w:rsid w:val="001459DF"/>
    <w:rsid w:val="0014640F"/>
    <w:rsid w:val="00147A4E"/>
    <w:rsid w:val="00147F84"/>
    <w:rsid w:val="00151379"/>
    <w:rsid w:val="00152114"/>
    <w:rsid w:val="001539E3"/>
    <w:rsid w:val="00153EFE"/>
    <w:rsid w:val="0015435C"/>
    <w:rsid w:val="00155981"/>
    <w:rsid w:val="0015774A"/>
    <w:rsid w:val="001577C5"/>
    <w:rsid w:val="001603F8"/>
    <w:rsid w:val="00161654"/>
    <w:rsid w:val="00165E23"/>
    <w:rsid w:val="00165FB1"/>
    <w:rsid w:val="00170080"/>
    <w:rsid w:val="00170264"/>
    <w:rsid w:val="00171C48"/>
    <w:rsid w:val="00173AD0"/>
    <w:rsid w:val="00174162"/>
    <w:rsid w:val="00174520"/>
    <w:rsid w:val="001750A0"/>
    <w:rsid w:val="001773B9"/>
    <w:rsid w:val="00180C3A"/>
    <w:rsid w:val="0018233E"/>
    <w:rsid w:val="001826DB"/>
    <w:rsid w:val="00184444"/>
    <w:rsid w:val="001859AF"/>
    <w:rsid w:val="0018657B"/>
    <w:rsid w:val="0018717A"/>
    <w:rsid w:val="00190484"/>
    <w:rsid w:val="00191312"/>
    <w:rsid w:val="00191A0C"/>
    <w:rsid w:val="00191CEA"/>
    <w:rsid w:val="001938AB"/>
    <w:rsid w:val="00196E45"/>
    <w:rsid w:val="00197F2A"/>
    <w:rsid w:val="001A2300"/>
    <w:rsid w:val="001A371B"/>
    <w:rsid w:val="001A501D"/>
    <w:rsid w:val="001A655D"/>
    <w:rsid w:val="001A7787"/>
    <w:rsid w:val="001A7D0D"/>
    <w:rsid w:val="001B0AC4"/>
    <w:rsid w:val="001B17D2"/>
    <w:rsid w:val="001B29BB"/>
    <w:rsid w:val="001B2C5D"/>
    <w:rsid w:val="001B334E"/>
    <w:rsid w:val="001B33F6"/>
    <w:rsid w:val="001B397A"/>
    <w:rsid w:val="001B4E21"/>
    <w:rsid w:val="001B5E89"/>
    <w:rsid w:val="001B5FAC"/>
    <w:rsid w:val="001B7026"/>
    <w:rsid w:val="001C0445"/>
    <w:rsid w:val="001C0780"/>
    <w:rsid w:val="001C0EE8"/>
    <w:rsid w:val="001C1FC9"/>
    <w:rsid w:val="001C4F34"/>
    <w:rsid w:val="001C67FB"/>
    <w:rsid w:val="001C7A5A"/>
    <w:rsid w:val="001C7CEE"/>
    <w:rsid w:val="001D09C5"/>
    <w:rsid w:val="001D1DF0"/>
    <w:rsid w:val="001D28DC"/>
    <w:rsid w:val="001D2A5B"/>
    <w:rsid w:val="001D2A73"/>
    <w:rsid w:val="001D3EBE"/>
    <w:rsid w:val="001D56AD"/>
    <w:rsid w:val="001D604C"/>
    <w:rsid w:val="001D6F10"/>
    <w:rsid w:val="001D70AF"/>
    <w:rsid w:val="001D7F98"/>
    <w:rsid w:val="001D7FCB"/>
    <w:rsid w:val="001E135D"/>
    <w:rsid w:val="001E39A4"/>
    <w:rsid w:val="001E606C"/>
    <w:rsid w:val="001E7C80"/>
    <w:rsid w:val="001F09EB"/>
    <w:rsid w:val="001F24FC"/>
    <w:rsid w:val="001F3DD5"/>
    <w:rsid w:val="001F48A2"/>
    <w:rsid w:val="001F5410"/>
    <w:rsid w:val="001F71FC"/>
    <w:rsid w:val="001F7C48"/>
    <w:rsid w:val="0020021D"/>
    <w:rsid w:val="00200224"/>
    <w:rsid w:val="00201994"/>
    <w:rsid w:val="00201A55"/>
    <w:rsid w:val="002022A9"/>
    <w:rsid w:val="00203ADB"/>
    <w:rsid w:val="002044EC"/>
    <w:rsid w:val="00204782"/>
    <w:rsid w:val="00205DD3"/>
    <w:rsid w:val="00206728"/>
    <w:rsid w:val="00207C55"/>
    <w:rsid w:val="00212208"/>
    <w:rsid w:val="00212B76"/>
    <w:rsid w:val="002143C7"/>
    <w:rsid w:val="0022020A"/>
    <w:rsid w:val="002202C3"/>
    <w:rsid w:val="0022040D"/>
    <w:rsid w:val="00220C8E"/>
    <w:rsid w:val="00221C91"/>
    <w:rsid w:val="002225BA"/>
    <w:rsid w:val="00226812"/>
    <w:rsid w:val="002271EB"/>
    <w:rsid w:val="00230A59"/>
    <w:rsid w:val="00230B6C"/>
    <w:rsid w:val="00233DE1"/>
    <w:rsid w:val="002358A1"/>
    <w:rsid w:val="00235CA4"/>
    <w:rsid w:val="00235E1D"/>
    <w:rsid w:val="00236A7C"/>
    <w:rsid w:val="002377EE"/>
    <w:rsid w:val="0023784A"/>
    <w:rsid w:val="00237AB5"/>
    <w:rsid w:val="00237AC5"/>
    <w:rsid w:val="00237B41"/>
    <w:rsid w:val="0024002C"/>
    <w:rsid w:val="002415CB"/>
    <w:rsid w:val="0024255B"/>
    <w:rsid w:val="0024320E"/>
    <w:rsid w:val="00244859"/>
    <w:rsid w:val="00245E45"/>
    <w:rsid w:val="00246403"/>
    <w:rsid w:val="00246790"/>
    <w:rsid w:val="00247D17"/>
    <w:rsid w:val="00247D77"/>
    <w:rsid w:val="00251700"/>
    <w:rsid w:val="00251717"/>
    <w:rsid w:val="0025231E"/>
    <w:rsid w:val="00252551"/>
    <w:rsid w:val="0025377B"/>
    <w:rsid w:val="00253BDF"/>
    <w:rsid w:val="0025450C"/>
    <w:rsid w:val="00255142"/>
    <w:rsid w:val="00255E07"/>
    <w:rsid w:val="0026226F"/>
    <w:rsid w:val="00262A81"/>
    <w:rsid w:val="002638FC"/>
    <w:rsid w:val="00265C8C"/>
    <w:rsid w:val="002660DE"/>
    <w:rsid w:val="00266635"/>
    <w:rsid w:val="0026729B"/>
    <w:rsid w:val="002675C1"/>
    <w:rsid w:val="00267EF1"/>
    <w:rsid w:val="00270C22"/>
    <w:rsid w:val="002714D3"/>
    <w:rsid w:val="0027150A"/>
    <w:rsid w:val="002726C2"/>
    <w:rsid w:val="00273349"/>
    <w:rsid w:val="00276032"/>
    <w:rsid w:val="00277575"/>
    <w:rsid w:val="00281F26"/>
    <w:rsid w:val="00283733"/>
    <w:rsid w:val="002859F5"/>
    <w:rsid w:val="00286676"/>
    <w:rsid w:val="0029504C"/>
    <w:rsid w:val="00295F68"/>
    <w:rsid w:val="00296068"/>
    <w:rsid w:val="002960A7"/>
    <w:rsid w:val="002A0277"/>
    <w:rsid w:val="002A0316"/>
    <w:rsid w:val="002A042C"/>
    <w:rsid w:val="002A2CA9"/>
    <w:rsid w:val="002A3C33"/>
    <w:rsid w:val="002A4CD2"/>
    <w:rsid w:val="002A6A32"/>
    <w:rsid w:val="002A6E22"/>
    <w:rsid w:val="002A78BE"/>
    <w:rsid w:val="002B24F5"/>
    <w:rsid w:val="002B275E"/>
    <w:rsid w:val="002B5B10"/>
    <w:rsid w:val="002B706A"/>
    <w:rsid w:val="002C081B"/>
    <w:rsid w:val="002C0ABD"/>
    <w:rsid w:val="002C3819"/>
    <w:rsid w:val="002C4165"/>
    <w:rsid w:val="002C53F3"/>
    <w:rsid w:val="002C639A"/>
    <w:rsid w:val="002C64FE"/>
    <w:rsid w:val="002D1B64"/>
    <w:rsid w:val="002D1D16"/>
    <w:rsid w:val="002D2339"/>
    <w:rsid w:val="002D2815"/>
    <w:rsid w:val="002D295B"/>
    <w:rsid w:val="002D452D"/>
    <w:rsid w:val="002D52F3"/>
    <w:rsid w:val="002D5F88"/>
    <w:rsid w:val="002D62A2"/>
    <w:rsid w:val="002D6658"/>
    <w:rsid w:val="002E2FB1"/>
    <w:rsid w:val="002E34A8"/>
    <w:rsid w:val="002E489E"/>
    <w:rsid w:val="002E5546"/>
    <w:rsid w:val="002E5A3D"/>
    <w:rsid w:val="002E712A"/>
    <w:rsid w:val="002E7E10"/>
    <w:rsid w:val="002F02A5"/>
    <w:rsid w:val="002F393B"/>
    <w:rsid w:val="002F421C"/>
    <w:rsid w:val="002F4EB8"/>
    <w:rsid w:val="002F50C4"/>
    <w:rsid w:val="002F68FC"/>
    <w:rsid w:val="003001E4"/>
    <w:rsid w:val="00300576"/>
    <w:rsid w:val="00301127"/>
    <w:rsid w:val="00301E2F"/>
    <w:rsid w:val="003033CD"/>
    <w:rsid w:val="00303979"/>
    <w:rsid w:val="00303A7B"/>
    <w:rsid w:val="00303DAF"/>
    <w:rsid w:val="00303F69"/>
    <w:rsid w:val="00307AE1"/>
    <w:rsid w:val="0031120E"/>
    <w:rsid w:val="003136EF"/>
    <w:rsid w:val="0031535A"/>
    <w:rsid w:val="00315C83"/>
    <w:rsid w:val="00316A29"/>
    <w:rsid w:val="00317845"/>
    <w:rsid w:val="00317B3B"/>
    <w:rsid w:val="00317D54"/>
    <w:rsid w:val="00317F0E"/>
    <w:rsid w:val="0032145B"/>
    <w:rsid w:val="00321650"/>
    <w:rsid w:val="003222C2"/>
    <w:rsid w:val="00324A0B"/>
    <w:rsid w:val="00324D2B"/>
    <w:rsid w:val="00324F39"/>
    <w:rsid w:val="003256A2"/>
    <w:rsid w:val="00325CB3"/>
    <w:rsid w:val="00326356"/>
    <w:rsid w:val="00327D49"/>
    <w:rsid w:val="0033164D"/>
    <w:rsid w:val="0033498E"/>
    <w:rsid w:val="00336AA6"/>
    <w:rsid w:val="00336BA3"/>
    <w:rsid w:val="00337F7A"/>
    <w:rsid w:val="003403A8"/>
    <w:rsid w:val="003409FE"/>
    <w:rsid w:val="00340A73"/>
    <w:rsid w:val="00340D6B"/>
    <w:rsid w:val="003443BB"/>
    <w:rsid w:val="00344CB4"/>
    <w:rsid w:val="00346D78"/>
    <w:rsid w:val="003474A4"/>
    <w:rsid w:val="003509F0"/>
    <w:rsid w:val="00353BCC"/>
    <w:rsid w:val="003552C0"/>
    <w:rsid w:val="0035739A"/>
    <w:rsid w:val="003610AE"/>
    <w:rsid w:val="0036110D"/>
    <w:rsid w:val="00362130"/>
    <w:rsid w:val="00362295"/>
    <w:rsid w:val="00363E96"/>
    <w:rsid w:val="0036516B"/>
    <w:rsid w:val="00365FC0"/>
    <w:rsid w:val="003661DE"/>
    <w:rsid w:val="0036679D"/>
    <w:rsid w:val="00370E9E"/>
    <w:rsid w:val="00372707"/>
    <w:rsid w:val="00372DCF"/>
    <w:rsid w:val="003739E1"/>
    <w:rsid w:val="00374981"/>
    <w:rsid w:val="00375265"/>
    <w:rsid w:val="00375835"/>
    <w:rsid w:val="00376F54"/>
    <w:rsid w:val="003776EA"/>
    <w:rsid w:val="003834AF"/>
    <w:rsid w:val="00383B61"/>
    <w:rsid w:val="00383EBD"/>
    <w:rsid w:val="00384AA2"/>
    <w:rsid w:val="003866AF"/>
    <w:rsid w:val="00390C88"/>
    <w:rsid w:val="00392B81"/>
    <w:rsid w:val="00392EAD"/>
    <w:rsid w:val="00396F3F"/>
    <w:rsid w:val="00397BAB"/>
    <w:rsid w:val="003A2157"/>
    <w:rsid w:val="003A2D25"/>
    <w:rsid w:val="003A38F1"/>
    <w:rsid w:val="003A41ED"/>
    <w:rsid w:val="003A56FD"/>
    <w:rsid w:val="003A57E6"/>
    <w:rsid w:val="003A7A26"/>
    <w:rsid w:val="003B1C01"/>
    <w:rsid w:val="003B2D3F"/>
    <w:rsid w:val="003B2D82"/>
    <w:rsid w:val="003B2EF1"/>
    <w:rsid w:val="003B4F72"/>
    <w:rsid w:val="003B6D45"/>
    <w:rsid w:val="003C00FE"/>
    <w:rsid w:val="003C2DB3"/>
    <w:rsid w:val="003C4499"/>
    <w:rsid w:val="003C4747"/>
    <w:rsid w:val="003C5A18"/>
    <w:rsid w:val="003C5EE8"/>
    <w:rsid w:val="003C7659"/>
    <w:rsid w:val="003C77B5"/>
    <w:rsid w:val="003C7DBF"/>
    <w:rsid w:val="003D0465"/>
    <w:rsid w:val="003D1260"/>
    <w:rsid w:val="003D1811"/>
    <w:rsid w:val="003D2BA2"/>
    <w:rsid w:val="003D35BC"/>
    <w:rsid w:val="003D3B25"/>
    <w:rsid w:val="003D4CDD"/>
    <w:rsid w:val="003D5608"/>
    <w:rsid w:val="003D6FF4"/>
    <w:rsid w:val="003D7963"/>
    <w:rsid w:val="003E19C2"/>
    <w:rsid w:val="003E21DC"/>
    <w:rsid w:val="003E2F7E"/>
    <w:rsid w:val="003E36EA"/>
    <w:rsid w:val="003E662B"/>
    <w:rsid w:val="003E666A"/>
    <w:rsid w:val="003F007D"/>
    <w:rsid w:val="003F1D86"/>
    <w:rsid w:val="003F4BD2"/>
    <w:rsid w:val="003F7667"/>
    <w:rsid w:val="00400A0A"/>
    <w:rsid w:val="00400BAD"/>
    <w:rsid w:val="00403A61"/>
    <w:rsid w:val="00403D06"/>
    <w:rsid w:val="00403E96"/>
    <w:rsid w:val="00404D6E"/>
    <w:rsid w:val="00404FE9"/>
    <w:rsid w:val="004056E7"/>
    <w:rsid w:val="004077EE"/>
    <w:rsid w:val="00410CB8"/>
    <w:rsid w:val="0041147E"/>
    <w:rsid w:val="004167B1"/>
    <w:rsid w:val="00416948"/>
    <w:rsid w:val="0041731A"/>
    <w:rsid w:val="00421CDD"/>
    <w:rsid w:val="004222CD"/>
    <w:rsid w:val="00422989"/>
    <w:rsid w:val="00423E8D"/>
    <w:rsid w:val="00425356"/>
    <w:rsid w:val="004268EF"/>
    <w:rsid w:val="0042714E"/>
    <w:rsid w:val="00427675"/>
    <w:rsid w:val="00430D55"/>
    <w:rsid w:val="00432A9B"/>
    <w:rsid w:val="0043427A"/>
    <w:rsid w:val="0043687D"/>
    <w:rsid w:val="0044161E"/>
    <w:rsid w:val="00441E1A"/>
    <w:rsid w:val="004430F6"/>
    <w:rsid w:val="00446952"/>
    <w:rsid w:val="004508C0"/>
    <w:rsid w:val="00451737"/>
    <w:rsid w:val="004529E7"/>
    <w:rsid w:val="00452B65"/>
    <w:rsid w:val="00453C09"/>
    <w:rsid w:val="00454303"/>
    <w:rsid w:val="0045449F"/>
    <w:rsid w:val="004555C1"/>
    <w:rsid w:val="00455BF1"/>
    <w:rsid w:val="004560AA"/>
    <w:rsid w:val="004579FE"/>
    <w:rsid w:val="0046299D"/>
    <w:rsid w:val="00465256"/>
    <w:rsid w:val="0046762E"/>
    <w:rsid w:val="00470EF4"/>
    <w:rsid w:val="00471577"/>
    <w:rsid w:val="00471A54"/>
    <w:rsid w:val="00476972"/>
    <w:rsid w:val="004769E2"/>
    <w:rsid w:val="00477C27"/>
    <w:rsid w:val="00480395"/>
    <w:rsid w:val="00481DEA"/>
    <w:rsid w:val="004826B1"/>
    <w:rsid w:val="00484118"/>
    <w:rsid w:val="00484C6B"/>
    <w:rsid w:val="00484DC2"/>
    <w:rsid w:val="00485E81"/>
    <w:rsid w:val="00486098"/>
    <w:rsid w:val="004879D5"/>
    <w:rsid w:val="0049161A"/>
    <w:rsid w:val="00494C8E"/>
    <w:rsid w:val="00495001"/>
    <w:rsid w:val="00495297"/>
    <w:rsid w:val="004954DF"/>
    <w:rsid w:val="004A09AC"/>
    <w:rsid w:val="004A1594"/>
    <w:rsid w:val="004A2462"/>
    <w:rsid w:val="004A4286"/>
    <w:rsid w:val="004A44F0"/>
    <w:rsid w:val="004A50C5"/>
    <w:rsid w:val="004B07D1"/>
    <w:rsid w:val="004B2AB8"/>
    <w:rsid w:val="004B338D"/>
    <w:rsid w:val="004B3D61"/>
    <w:rsid w:val="004B4518"/>
    <w:rsid w:val="004B6E16"/>
    <w:rsid w:val="004B7791"/>
    <w:rsid w:val="004C2658"/>
    <w:rsid w:val="004C3CE4"/>
    <w:rsid w:val="004C3E8F"/>
    <w:rsid w:val="004C42B7"/>
    <w:rsid w:val="004D43A5"/>
    <w:rsid w:val="004D6DD1"/>
    <w:rsid w:val="004D6E79"/>
    <w:rsid w:val="004D71F0"/>
    <w:rsid w:val="004D7A57"/>
    <w:rsid w:val="004E0D44"/>
    <w:rsid w:val="004E1EE4"/>
    <w:rsid w:val="004E25BD"/>
    <w:rsid w:val="004E325D"/>
    <w:rsid w:val="004E77C1"/>
    <w:rsid w:val="004E7C35"/>
    <w:rsid w:val="004E7C84"/>
    <w:rsid w:val="004F0BCA"/>
    <w:rsid w:val="004F1408"/>
    <w:rsid w:val="004F2AB2"/>
    <w:rsid w:val="004F2E21"/>
    <w:rsid w:val="004F3284"/>
    <w:rsid w:val="004F3A0E"/>
    <w:rsid w:val="004F4070"/>
    <w:rsid w:val="004F5E0B"/>
    <w:rsid w:val="004F62FC"/>
    <w:rsid w:val="004F7015"/>
    <w:rsid w:val="004F7D81"/>
    <w:rsid w:val="0050304B"/>
    <w:rsid w:val="005052D2"/>
    <w:rsid w:val="00507D7A"/>
    <w:rsid w:val="00510E6F"/>
    <w:rsid w:val="005111EB"/>
    <w:rsid w:val="00511D9C"/>
    <w:rsid w:val="00513A1B"/>
    <w:rsid w:val="00514581"/>
    <w:rsid w:val="00517270"/>
    <w:rsid w:val="00520820"/>
    <w:rsid w:val="00521366"/>
    <w:rsid w:val="005213A6"/>
    <w:rsid w:val="00521D58"/>
    <w:rsid w:val="00522E98"/>
    <w:rsid w:val="005236EF"/>
    <w:rsid w:val="005266E8"/>
    <w:rsid w:val="00526BCA"/>
    <w:rsid w:val="005300E6"/>
    <w:rsid w:val="005320D1"/>
    <w:rsid w:val="00535B9E"/>
    <w:rsid w:val="00535C21"/>
    <w:rsid w:val="005405C1"/>
    <w:rsid w:val="00540A0F"/>
    <w:rsid w:val="005440C5"/>
    <w:rsid w:val="00544B71"/>
    <w:rsid w:val="00545F23"/>
    <w:rsid w:val="005469B6"/>
    <w:rsid w:val="00547526"/>
    <w:rsid w:val="00550487"/>
    <w:rsid w:val="005520A1"/>
    <w:rsid w:val="00552195"/>
    <w:rsid w:val="005530E4"/>
    <w:rsid w:val="00553445"/>
    <w:rsid w:val="005535A9"/>
    <w:rsid w:val="005544A0"/>
    <w:rsid w:val="00560EE3"/>
    <w:rsid w:val="005610D2"/>
    <w:rsid w:val="00562A08"/>
    <w:rsid w:val="00562CB2"/>
    <w:rsid w:val="00562FBB"/>
    <w:rsid w:val="005630BF"/>
    <w:rsid w:val="00565306"/>
    <w:rsid w:val="0056548B"/>
    <w:rsid w:val="00566378"/>
    <w:rsid w:val="00567852"/>
    <w:rsid w:val="00567C67"/>
    <w:rsid w:val="00571875"/>
    <w:rsid w:val="00571EBE"/>
    <w:rsid w:val="00575295"/>
    <w:rsid w:val="00575605"/>
    <w:rsid w:val="00575B00"/>
    <w:rsid w:val="005760C8"/>
    <w:rsid w:val="00577972"/>
    <w:rsid w:val="005808D4"/>
    <w:rsid w:val="0058100C"/>
    <w:rsid w:val="0058609B"/>
    <w:rsid w:val="00586D8F"/>
    <w:rsid w:val="005903CA"/>
    <w:rsid w:val="0059173F"/>
    <w:rsid w:val="00593812"/>
    <w:rsid w:val="00594C98"/>
    <w:rsid w:val="005A031A"/>
    <w:rsid w:val="005A16AB"/>
    <w:rsid w:val="005A27A6"/>
    <w:rsid w:val="005A3374"/>
    <w:rsid w:val="005A3BD5"/>
    <w:rsid w:val="005A7BAA"/>
    <w:rsid w:val="005B01F2"/>
    <w:rsid w:val="005B09EA"/>
    <w:rsid w:val="005B6588"/>
    <w:rsid w:val="005B6D2E"/>
    <w:rsid w:val="005C009C"/>
    <w:rsid w:val="005C02BF"/>
    <w:rsid w:val="005C0927"/>
    <w:rsid w:val="005C1979"/>
    <w:rsid w:val="005C2C59"/>
    <w:rsid w:val="005C3A3B"/>
    <w:rsid w:val="005C50B1"/>
    <w:rsid w:val="005C6125"/>
    <w:rsid w:val="005C7E36"/>
    <w:rsid w:val="005D0270"/>
    <w:rsid w:val="005D02F0"/>
    <w:rsid w:val="005D175F"/>
    <w:rsid w:val="005D2AC2"/>
    <w:rsid w:val="005D3D26"/>
    <w:rsid w:val="005D43B6"/>
    <w:rsid w:val="005D4571"/>
    <w:rsid w:val="005D604E"/>
    <w:rsid w:val="005D6793"/>
    <w:rsid w:val="005D6990"/>
    <w:rsid w:val="005D7E2B"/>
    <w:rsid w:val="005E0E05"/>
    <w:rsid w:val="005E466E"/>
    <w:rsid w:val="005E511F"/>
    <w:rsid w:val="005E5A6C"/>
    <w:rsid w:val="005E675A"/>
    <w:rsid w:val="005E6E92"/>
    <w:rsid w:val="005E7714"/>
    <w:rsid w:val="005F2A28"/>
    <w:rsid w:val="005F3742"/>
    <w:rsid w:val="005F4A32"/>
    <w:rsid w:val="005F5A26"/>
    <w:rsid w:val="005F65D3"/>
    <w:rsid w:val="005F7D83"/>
    <w:rsid w:val="00602067"/>
    <w:rsid w:val="00603A89"/>
    <w:rsid w:val="0060761A"/>
    <w:rsid w:val="00607689"/>
    <w:rsid w:val="00607A9E"/>
    <w:rsid w:val="00607B7C"/>
    <w:rsid w:val="00610650"/>
    <w:rsid w:val="0061092D"/>
    <w:rsid w:val="00613804"/>
    <w:rsid w:val="006142A6"/>
    <w:rsid w:val="00615F38"/>
    <w:rsid w:val="006163AE"/>
    <w:rsid w:val="00616738"/>
    <w:rsid w:val="0061734B"/>
    <w:rsid w:val="006202F7"/>
    <w:rsid w:val="00621220"/>
    <w:rsid w:val="00622294"/>
    <w:rsid w:val="00622672"/>
    <w:rsid w:val="00623BF2"/>
    <w:rsid w:val="006242EA"/>
    <w:rsid w:val="00624A69"/>
    <w:rsid w:val="00625B90"/>
    <w:rsid w:val="00626D96"/>
    <w:rsid w:val="00627028"/>
    <w:rsid w:val="00627F73"/>
    <w:rsid w:val="00630200"/>
    <w:rsid w:val="0063190B"/>
    <w:rsid w:val="00631F7D"/>
    <w:rsid w:val="006338BC"/>
    <w:rsid w:val="00634990"/>
    <w:rsid w:val="00634DF7"/>
    <w:rsid w:val="006356EA"/>
    <w:rsid w:val="00637400"/>
    <w:rsid w:val="00637F56"/>
    <w:rsid w:val="00640603"/>
    <w:rsid w:val="00641C4A"/>
    <w:rsid w:val="00642215"/>
    <w:rsid w:val="00642E93"/>
    <w:rsid w:val="006430D8"/>
    <w:rsid w:val="006451E3"/>
    <w:rsid w:val="00645E2B"/>
    <w:rsid w:val="00652733"/>
    <w:rsid w:val="00652C9B"/>
    <w:rsid w:val="006532B2"/>
    <w:rsid w:val="00655EDE"/>
    <w:rsid w:val="00663AB8"/>
    <w:rsid w:val="00663BCA"/>
    <w:rsid w:val="00664147"/>
    <w:rsid w:val="00664247"/>
    <w:rsid w:val="006642C0"/>
    <w:rsid w:val="00667012"/>
    <w:rsid w:val="00670108"/>
    <w:rsid w:val="00670934"/>
    <w:rsid w:val="00673F2A"/>
    <w:rsid w:val="00673F65"/>
    <w:rsid w:val="00674048"/>
    <w:rsid w:val="00675529"/>
    <w:rsid w:val="0067610A"/>
    <w:rsid w:val="00680393"/>
    <w:rsid w:val="006823DF"/>
    <w:rsid w:val="00682C08"/>
    <w:rsid w:val="00682C0B"/>
    <w:rsid w:val="00683255"/>
    <w:rsid w:val="0068326E"/>
    <w:rsid w:val="00683814"/>
    <w:rsid w:val="00683887"/>
    <w:rsid w:val="0068391F"/>
    <w:rsid w:val="00683AEC"/>
    <w:rsid w:val="00684947"/>
    <w:rsid w:val="006864B2"/>
    <w:rsid w:val="0068684C"/>
    <w:rsid w:val="00686F07"/>
    <w:rsid w:val="006876AD"/>
    <w:rsid w:val="00687749"/>
    <w:rsid w:val="00690EB8"/>
    <w:rsid w:val="00692679"/>
    <w:rsid w:val="0069623B"/>
    <w:rsid w:val="006A02C7"/>
    <w:rsid w:val="006A1B7B"/>
    <w:rsid w:val="006A37F5"/>
    <w:rsid w:val="006A38DB"/>
    <w:rsid w:val="006A43A6"/>
    <w:rsid w:val="006A45EC"/>
    <w:rsid w:val="006A52C4"/>
    <w:rsid w:val="006A5811"/>
    <w:rsid w:val="006A71E5"/>
    <w:rsid w:val="006A7447"/>
    <w:rsid w:val="006A7905"/>
    <w:rsid w:val="006B119D"/>
    <w:rsid w:val="006B13DB"/>
    <w:rsid w:val="006B226C"/>
    <w:rsid w:val="006B2992"/>
    <w:rsid w:val="006B31C0"/>
    <w:rsid w:val="006B3445"/>
    <w:rsid w:val="006C030E"/>
    <w:rsid w:val="006C1C57"/>
    <w:rsid w:val="006C37B6"/>
    <w:rsid w:val="006C3DBA"/>
    <w:rsid w:val="006C4302"/>
    <w:rsid w:val="006C61A1"/>
    <w:rsid w:val="006C6682"/>
    <w:rsid w:val="006D112C"/>
    <w:rsid w:val="006D2DF9"/>
    <w:rsid w:val="006D2EAC"/>
    <w:rsid w:val="006E0B3A"/>
    <w:rsid w:val="006E0E8F"/>
    <w:rsid w:val="006E2C57"/>
    <w:rsid w:val="006E2D4B"/>
    <w:rsid w:val="006E36DF"/>
    <w:rsid w:val="006E562F"/>
    <w:rsid w:val="006E62EA"/>
    <w:rsid w:val="006F1B46"/>
    <w:rsid w:val="006F4189"/>
    <w:rsid w:val="006F759F"/>
    <w:rsid w:val="006F7CE8"/>
    <w:rsid w:val="007031E9"/>
    <w:rsid w:val="00704D19"/>
    <w:rsid w:val="00705813"/>
    <w:rsid w:val="00710783"/>
    <w:rsid w:val="00712957"/>
    <w:rsid w:val="00713AB2"/>
    <w:rsid w:val="007144A0"/>
    <w:rsid w:val="007156E1"/>
    <w:rsid w:val="007159B3"/>
    <w:rsid w:val="00716744"/>
    <w:rsid w:val="007178EE"/>
    <w:rsid w:val="00717967"/>
    <w:rsid w:val="0072355A"/>
    <w:rsid w:val="00724DC6"/>
    <w:rsid w:val="007258E7"/>
    <w:rsid w:val="00725FA6"/>
    <w:rsid w:val="00730924"/>
    <w:rsid w:val="007328B1"/>
    <w:rsid w:val="0073310E"/>
    <w:rsid w:val="00734273"/>
    <w:rsid w:val="00734F84"/>
    <w:rsid w:val="00735CA5"/>
    <w:rsid w:val="007361F0"/>
    <w:rsid w:val="00740590"/>
    <w:rsid w:val="00742DD9"/>
    <w:rsid w:val="00743119"/>
    <w:rsid w:val="00743279"/>
    <w:rsid w:val="007443DC"/>
    <w:rsid w:val="00745542"/>
    <w:rsid w:val="0074748E"/>
    <w:rsid w:val="00747854"/>
    <w:rsid w:val="007509EC"/>
    <w:rsid w:val="00750BC8"/>
    <w:rsid w:val="00752265"/>
    <w:rsid w:val="00753054"/>
    <w:rsid w:val="00753297"/>
    <w:rsid w:val="007537B8"/>
    <w:rsid w:val="00755434"/>
    <w:rsid w:val="00755E99"/>
    <w:rsid w:val="00755FC4"/>
    <w:rsid w:val="0075673E"/>
    <w:rsid w:val="00760E3A"/>
    <w:rsid w:val="0076262F"/>
    <w:rsid w:val="00762F07"/>
    <w:rsid w:val="007647AE"/>
    <w:rsid w:val="00764A29"/>
    <w:rsid w:val="00764BF5"/>
    <w:rsid w:val="00771445"/>
    <w:rsid w:val="00771534"/>
    <w:rsid w:val="00772694"/>
    <w:rsid w:val="00773727"/>
    <w:rsid w:val="0077707C"/>
    <w:rsid w:val="00777A7E"/>
    <w:rsid w:val="0078008A"/>
    <w:rsid w:val="0078115A"/>
    <w:rsid w:val="007811D0"/>
    <w:rsid w:val="00782558"/>
    <w:rsid w:val="00782E3A"/>
    <w:rsid w:val="00785937"/>
    <w:rsid w:val="00787CBC"/>
    <w:rsid w:val="00787E43"/>
    <w:rsid w:val="00791C6C"/>
    <w:rsid w:val="007948E0"/>
    <w:rsid w:val="007948FD"/>
    <w:rsid w:val="00794B54"/>
    <w:rsid w:val="00794B8E"/>
    <w:rsid w:val="00797A77"/>
    <w:rsid w:val="00797B3C"/>
    <w:rsid w:val="00797B96"/>
    <w:rsid w:val="007A00E5"/>
    <w:rsid w:val="007A1512"/>
    <w:rsid w:val="007A33DF"/>
    <w:rsid w:val="007A5FF9"/>
    <w:rsid w:val="007B02F5"/>
    <w:rsid w:val="007B2B2F"/>
    <w:rsid w:val="007B2D30"/>
    <w:rsid w:val="007B3B09"/>
    <w:rsid w:val="007B4599"/>
    <w:rsid w:val="007B6059"/>
    <w:rsid w:val="007B6ADA"/>
    <w:rsid w:val="007B6D15"/>
    <w:rsid w:val="007C1977"/>
    <w:rsid w:val="007C47B6"/>
    <w:rsid w:val="007C4D07"/>
    <w:rsid w:val="007C4FAC"/>
    <w:rsid w:val="007C5741"/>
    <w:rsid w:val="007D35EE"/>
    <w:rsid w:val="007D4E48"/>
    <w:rsid w:val="007D5693"/>
    <w:rsid w:val="007D5FAD"/>
    <w:rsid w:val="007D6C85"/>
    <w:rsid w:val="007D72F5"/>
    <w:rsid w:val="007E01BF"/>
    <w:rsid w:val="007E2E7F"/>
    <w:rsid w:val="007E30BA"/>
    <w:rsid w:val="007E349C"/>
    <w:rsid w:val="007E3DE4"/>
    <w:rsid w:val="007E699B"/>
    <w:rsid w:val="007F0F7C"/>
    <w:rsid w:val="007F1A16"/>
    <w:rsid w:val="007F3023"/>
    <w:rsid w:val="007F582D"/>
    <w:rsid w:val="007F5830"/>
    <w:rsid w:val="007F5910"/>
    <w:rsid w:val="008001C0"/>
    <w:rsid w:val="008007E3"/>
    <w:rsid w:val="008030BD"/>
    <w:rsid w:val="00804BCF"/>
    <w:rsid w:val="00806EFD"/>
    <w:rsid w:val="00807F2A"/>
    <w:rsid w:val="008106A7"/>
    <w:rsid w:val="00811D76"/>
    <w:rsid w:val="008130AD"/>
    <w:rsid w:val="00813F08"/>
    <w:rsid w:val="008149E8"/>
    <w:rsid w:val="008169EA"/>
    <w:rsid w:val="0081764F"/>
    <w:rsid w:val="008208C7"/>
    <w:rsid w:val="00822A13"/>
    <w:rsid w:val="00823CA4"/>
    <w:rsid w:val="00824442"/>
    <w:rsid w:val="00824832"/>
    <w:rsid w:val="00824A0F"/>
    <w:rsid w:val="0082686B"/>
    <w:rsid w:val="00826CF4"/>
    <w:rsid w:val="00827C6D"/>
    <w:rsid w:val="00832079"/>
    <w:rsid w:val="00832297"/>
    <w:rsid w:val="00834075"/>
    <w:rsid w:val="008343C5"/>
    <w:rsid w:val="008348B8"/>
    <w:rsid w:val="00834D09"/>
    <w:rsid w:val="008356FE"/>
    <w:rsid w:val="00836656"/>
    <w:rsid w:val="00842B2B"/>
    <w:rsid w:val="00851427"/>
    <w:rsid w:val="00852FE2"/>
    <w:rsid w:val="008530E0"/>
    <w:rsid w:val="00853543"/>
    <w:rsid w:val="008544D7"/>
    <w:rsid w:val="00854528"/>
    <w:rsid w:val="00857A71"/>
    <w:rsid w:val="00860568"/>
    <w:rsid w:val="00861A83"/>
    <w:rsid w:val="0086260D"/>
    <w:rsid w:val="00862700"/>
    <w:rsid w:val="00864C48"/>
    <w:rsid w:val="00865D72"/>
    <w:rsid w:val="0086700B"/>
    <w:rsid w:val="0086754D"/>
    <w:rsid w:val="00867CE3"/>
    <w:rsid w:val="0087024E"/>
    <w:rsid w:val="00872402"/>
    <w:rsid w:val="0087277D"/>
    <w:rsid w:val="00872A00"/>
    <w:rsid w:val="008736BB"/>
    <w:rsid w:val="00874F79"/>
    <w:rsid w:val="008751E0"/>
    <w:rsid w:val="00875308"/>
    <w:rsid w:val="00875366"/>
    <w:rsid w:val="00876658"/>
    <w:rsid w:val="00876693"/>
    <w:rsid w:val="00876B44"/>
    <w:rsid w:val="00880983"/>
    <w:rsid w:val="008817B2"/>
    <w:rsid w:val="0088276D"/>
    <w:rsid w:val="00883191"/>
    <w:rsid w:val="00883986"/>
    <w:rsid w:val="008849A1"/>
    <w:rsid w:val="008866DC"/>
    <w:rsid w:val="0088691A"/>
    <w:rsid w:val="00886C03"/>
    <w:rsid w:val="00886F26"/>
    <w:rsid w:val="0088722E"/>
    <w:rsid w:val="008873F4"/>
    <w:rsid w:val="008953D5"/>
    <w:rsid w:val="00895A26"/>
    <w:rsid w:val="00897943"/>
    <w:rsid w:val="008A0A5F"/>
    <w:rsid w:val="008A0C4E"/>
    <w:rsid w:val="008A0F8C"/>
    <w:rsid w:val="008A3109"/>
    <w:rsid w:val="008A51A5"/>
    <w:rsid w:val="008A56C2"/>
    <w:rsid w:val="008B1C66"/>
    <w:rsid w:val="008B1F90"/>
    <w:rsid w:val="008B2129"/>
    <w:rsid w:val="008B31DB"/>
    <w:rsid w:val="008B3F60"/>
    <w:rsid w:val="008B4C61"/>
    <w:rsid w:val="008B5328"/>
    <w:rsid w:val="008B59FC"/>
    <w:rsid w:val="008B5B97"/>
    <w:rsid w:val="008B6075"/>
    <w:rsid w:val="008B64C2"/>
    <w:rsid w:val="008B6695"/>
    <w:rsid w:val="008B67F3"/>
    <w:rsid w:val="008B6AD8"/>
    <w:rsid w:val="008B6BE8"/>
    <w:rsid w:val="008B6DC7"/>
    <w:rsid w:val="008B74B4"/>
    <w:rsid w:val="008C01A4"/>
    <w:rsid w:val="008C0364"/>
    <w:rsid w:val="008C0404"/>
    <w:rsid w:val="008C1DC4"/>
    <w:rsid w:val="008C2D58"/>
    <w:rsid w:val="008C3BE9"/>
    <w:rsid w:val="008C4B0F"/>
    <w:rsid w:val="008C4DBB"/>
    <w:rsid w:val="008C5855"/>
    <w:rsid w:val="008C7D4C"/>
    <w:rsid w:val="008D05BC"/>
    <w:rsid w:val="008D0F26"/>
    <w:rsid w:val="008D1854"/>
    <w:rsid w:val="008D19F1"/>
    <w:rsid w:val="008D2A0E"/>
    <w:rsid w:val="008D379B"/>
    <w:rsid w:val="008D601F"/>
    <w:rsid w:val="008D6400"/>
    <w:rsid w:val="008E1230"/>
    <w:rsid w:val="008E2FB6"/>
    <w:rsid w:val="008E734F"/>
    <w:rsid w:val="008E73D0"/>
    <w:rsid w:val="008E77A2"/>
    <w:rsid w:val="008F1FB9"/>
    <w:rsid w:val="008F2EE4"/>
    <w:rsid w:val="008F3B18"/>
    <w:rsid w:val="008F4CBB"/>
    <w:rsid w:val="008F4E19"/>
    <w:rsid w:val="008F51E0"/>
    <w:rsid w:val="008F5981"/>
    <w:rsid w:val="008F76B7"/>
    <w:rsid w:val="008F7A6A"/>
    <w:rsid w:val="008F7FA8"/>
    <w:rsid w:val="0090045C"/>
    <w:rsid w:val="00900A9E"/>
    <w:rsid w:val="0090235C"/>
    <w:rsid w:val="0090328B"/>
    <w:rsid w:val="00904BB9"/>
    <w:rsid w:val="00910D2A"/>
    <w:rsid w:val="00912104"/>
    <w:rsid w:val="00913D34"/>
    <w:rsid w:val="00914DD8"/>
    <w:rsid w:val="00917314"/>
    <w:rsid w:val="00917F2A"/>
    <w:rsid w:val="009205BC"/>
    <w:rsid w:val="009249B8"/>
    <w:rsid w:val="00926218"/>
    <w:rsid w:val="00926C41"/>
    <w:rsid w:val="00927F69"/>
    <w:rsid w:val="00930820"/>
    <w:rsid w:val="00930DC8"/>
    <w:rsid w:val="009346B3"/>
    <w:rsid w:val="0093609C"/>
    <w:rsid w:val="00936336"/>
    <w:rsid w:val="009417E8"/>
    <w:rsid w:val="00944492"/>
    <w:rsid w:val="00944591"/>
    <w:rsid w:val="00944A91"/>
    <w:rsid w:val="00944AD9"/>
    <w:rsid w:val="00944BD0"/>
    <w:rsid w:val="00944D00"/>
    <w:rsid w:val="00945C13"/>
    <w:rsid w:val="00946620"/>
    <w:rsid w:val="0094713B"/>
    <w:rsid w:val="00950D7A"/>
    <w:rsid w:val="00950E56"/>
    <w:rsid w:val="00950FE7"/>
    <w:rsid w:val="00951110"/>
    <w:rsid w:val="009534C1"/>
    <w:rsid w:val="009545F1"/>
    <w:rsid w:val="0095461A"/>
    <w:rsid w:val="00954960"/>
    <w:rsid w:val="00954C06"/>
    <w:rsid w:val="00954F0F"/>
    <w:rsid w:val="00955A81"/>
    <w:rsid w:val="00956552"/>
    <w:rsid w:val="0097132A"/>
    <w:rsid w:val="0097295D"/>
    <w:rsid w:val="00974029"/>
    <w:rsid w:val="00975EB6"/>
    <w:rsid w:val="00980118"/>
    <w:rsid w:val="009813D0"/>
    <w:rsid w:val="00981970"/>
    <w:rsid w:val="0098338D"/>
    <w:rsid w:val="009836CA"/>
    <w:rsid w:val="00984987"/>
    <w:rsid w:val="00984C07"/>
    <w:rsid w:val="00984C71"/>
    <w:rsid w:val="00990C56"/>
    <w:rsid w:val="00990F12"/>
    <w:rsid w:val="0099392D"/>
    <w:rsid w:val="00993E86"/>
    <w:rsid w:val="00995FB7"/>
    <w:rsid w:val="00996EFF"/>
    <w:rsid w:val="009A45A6"/>
    <w:rsid w:val="009A7EA5"/>
    <w:rsid w:val="009B0195"/>
    <w:rsid w:val="009B1964"/>
    <w:rsid w:val="009B2AA0"/>
    <w:rsid w:val="009B44EE"/>
    <w:rsid w:val="009B487D"/>
    <w:rsid w:val="009B61D4"/>
    <w:rsid w:val="009B775C"/>
    <w:rsid w:val="009C251E"/>
    <w:rsid w:val="009C4E3B"/>
    <w:rsid w:val="009C4FB6"/>
    <w:rsid w:val="009C5942"/>
    <w:rsid w:val="009C5B72"/>
    <w:rsid w:val="009C6CC6"/>
    <w:rsid w:val="009D09F9"/>
    <w:rsid w:val="009D1703"/>
    <w:rsid w:val="009D28C0"/>
    <w:rsid w:val="009D394E"/>
    <w:rsid w:val="009D4C31"/>
    <w:rsid w:val="009D4D0F"/>
    <w:rsid w:val="009D66B3"/>
    <w:rsid w:val="009D7C20"/>
    <w:rsid w:val="009D7D18"/>
    <w:rsid w:val="009E0E7F"/>
    <w:rsid w:val="009E2608"/>
    <w:rsid w:val="009E2994"/>
    <w:rsid w:val="009E29A6"/>
    <w:rsid w:val="009E5CE5"/>
    <w:rsid w:val="009E6B1C"/>
    <w:rsid w:val="009F0A5A"/>
    <w:rsid w:val="009F0F0F"/>
    <w:rsid w:val="009F1D0D"/>
    <w:rsid w:val="009F265A"/>
    <w:rsid w:val="009F26D2"/>
    <w:rsid w:val="009F2BD4"/>
    <w:rsid w:val="009F51E9"/>
    <w:rsid w:val="009F574B"/>
    <w:rsid w:val="009F74D9"/>
    <w:rsid w:val="009F7F68"/>
    <w:rsid w:val="00A00D04"/>
    <w:rsid w:val="00A03545"/>
    <w:rsid w:val="00A03A5A"/>
    <w:rsid w:val="00A04601"/>
    <w:rsid w:val="00A05BB1"/>
    <w:rsid w:val="00A07382"/>
    <w:rsid w:val="00A07688"/>
    <w:rsid w:val="00A07CB3"/>
    <w:rsid w:val="00A10268"/>
    <w:rsid w:val="00A11348"/>
    <w:rsid w:val="00A12364"/>
    <w:rsid w:val="00A137D2"/>
    <w:rsid w:val="00A13876"/>
    <w:rsid w:val="00A144A9"/>
    <w:rsid w:val="00A14AAB"/>
    <w:rsid w:val="00A160BE"/>
    <w:rsid w:val="00A20A53"/>
    <w:rsid w:val="00A20B20"/>
    <w:rsid w:val="00A214BC"/>
    <w:rsid w:val="00A219C7"/>
    <w:rsid w:val="00A21F2C"/>
    <w:rsid w:val="00A23601"/>
    <w:rsid w:val="00A23718"/>
    <w:rsid w:val="00A24998"/>
    <w:rsid w:val="00A25027"/>
    <w:rsid w:val="00A265C0"/>
    <w:rsid w:val="00A27608"/>
    <w:rsid w:val="00A3007F"/>
    <w:rsid w:val="00A323D2"/>
    <w:rsid w:val="00A325A4"/>
    <w:rsid w:val="00A34C91"/>
    <w:rsid w:val="00A41C20"/>
    <w:rsid w:val="00A41C60"/>
    <w:rsid w:val="00A424F7"/>
    <w:rsid w:val="00A43EE8"/>
    <w:rsid w:val="00A467BB"/>
    <w:rsid w:val="00A521C2"/>
    <w:rsid w:val="00A55922"/>
    <w:rsid w:val="00A56DDB"/>
    <w:rsid w:val="00A577BB"/>
    <w:rsid w:val="00A6261D"/>
    <w:rsid w:val="00A62FCC"/>
    <w:rsid w:val="00A63A55"/>
    <w:rsid w:val="00A63E69"/>
    <w:rsid w:val="00A64332"/>
    <w:rsid w:val="00A66579"/>
    <w:rsid w:val="00A77CB7"/>
    <w:rsid w:val="00A80190"/>
    <w:rsid w:val="00A83310"/>
    <w:rsid w:val="00A84291"/>
    <w:rsid w:val="00A85684"/>
    <w:rsid w:val="00A858A9"/>
    <w:rsid w:val="00A85EC2"/>
    <w:rsid w:val="00A86CC4"/>
    <w:rsid w:val="00A86E4E"/>
    <w:rsid w:val="00A9064F"/>
    <w:rsid w:val="00A90890"/>
    <w:rsid w:val="00A94671"/>
    <w:rsid w:val="00A9535D"/>
    <w:rsid w:val="00A95AB0"/>
    <w:rsid w:val="00A97F93"/>
    <w:rsid w:val="00AA0694"/>
    <w:rsid w:val="00AA504F"/>
    <w:rsid w:val="00AA576D"/>
    <w:rsid w:val="00AA6F2C"/>
    <w:rsid w:val="00AA73EA"/>
    <w:rsid w:val="00AA7745"/>
    <w:rsid w:val="00AB1BFE"/>
    <w:rsid w:val="00AB26BB"/>
    <w:rsid w:val="00AB3020"/>
    <w:rsid w:val="00AB3AC7"/>
    <w:rsid w:val="00AB719D"/>
    <w:rsid w:val="00AC047C"/>
    <w:rsid w:val="00AC0EDE"/>
    <w:rsid w:val="00AC102C"/>
    <w:rsid w:val="00AC1B5D"/>
    <w:rsid w:val="00AC27D9"/>
    <w:rsid w:val="00AC382F"/>
    <w:rsid w:val="00AC65A7"/>
    <w:rsid w:val="00AC7E7B"/>
    <w:rsid w:val="00AD081A"/>
    <w:rsid w:val="00AD0888"/>
    <w:rsid w:val="00AD0DA6"/>
    <w:rsid w:val="00AD13DD"/>
    <w:rsid w:val="00AD3DFD"/>
    <w:rsid w:val="00AD56C4"/>
    <w:rsid w:val="00AD59B1"/>
    <w:rsid w:val="00AD64CF"/>
    <w:rsid w:val="00AD6F52"/>
    <w:rsid w:val="00AD7A0A"/>
    <w:rsid w:val="00AD7F4F"/>
    <w:rsid w:val="00AE02EF"/>
    <w:rsid w:val="00AE172C"/>
    <w:rsid w:val="00AE1918"/>
    <w:rsid w:val="00AE35A6"/>
    <w:rsid w:val="00AE3BFF"/>
    <w:rsid w:val="00AE4CC7"/>
    <w:rsid w:val="00AE52EC"/>
    <w:rsid w:val="00AE55EE"/>
    <w:rsid w:val="00AE5AE6"/>
    <w:rsid w:val="00AE6067"/>
    <w:rsid w:val="00AE650A"/>
    <w:rsid w:val="00AE6994"/>
    <w:rsid w:val="00AE6D4E"/>
    <w:rsid w:val="00AE6DA6"/>
    <w:rsid w:val="00AF196B"/>
    <w:rsid w:val="00AF1D85"/>
    <w:rsid w:val="00AF32E6"/>
    <w:rsid w:val="00AF43E0"/>
    <w:rsid w:val="00AF454C"/>
    <w:rsid w:val="00AF46C7"/>
    <w:rsid w:val="00AF5B50"/>
    <w:rsid w:val="00B016B8"/>
    <w:rsid w:val="00B01A91"/>
    <w:rsid w:val="00B0355F"/>
    <w:rsid w:val="00B03A2B"/>
    <w:rsid w:val="00B03F2C"/>
    <w:rsid w:val="00B04135"/>
    <w:rsid w:val="00B054F9"/>
    <w:rsid w:val="00B0661C"/>
    <w:rsid w:val="00B106F0"/>
    <w:rsid w:val="00B10776"/>
    <w:rsid w:val="00B12356"/>
    <w:rsid w:val="00B12E2C"/>
    <w:rsid w:val="00B13AD7"/>
    <w:rsid w:val="00B13E04"/>
    <w:rsid w:val="00B1472E"/>
    <w:rsid w:val="00B1478A"/>
    <w:rsid w:val="00B167DE"/>
    <w:rsid w:val="00B17BA1"/>
    <w:rsid w:val="00B20A6B"/>
    <w:rsid w:val="00B21DCE"/>
    <w:rsid w:val="00B22ED7"/>
    <w:rsid w:val="00B23BB8"/>
    <w:rsid w:val="00B240E5"/>
    <w:rsid w:val="00B27BDF"/>
    <w:rsid w:val="00B27C00"/>
    <w:rsid w:val="00B30113"/>
    <w:rsid w:val="00B30FB0"/>
    <w:rsid w:val="00B31549"/>
    <w:rsid w:val="00B32311"/>
    <w:rsid w:val="00B342F0"/>
    <w:rsid w:val="00B34D56"/>
    <w:rsid w:val="00B35566"/>
    <w:rsid w:val="00B373B3"/>
    <w:rsid w:val="00B41377"/>
    <w:rsid w:val="00B43634"/>
    <w:rsid w:val="00B43E3B"/>
    <w:rsid w:val="00B44551"/>
    <w:rsid w:val="00B477FD"/>
    <w:rsid w:val="00B51B9A"/>
    <w:rsid w:val="00B54A19"/>
    <w:rsid w:val="00B5531D"/>
    <w:rsid w:val="00B608D4"/>
    <w:rsid w:val="00B60AB4"/>
    <w:rsid w:val="00B61161"/>
    <w:rsid w:val="00B63C4B"/>
    <w:rsid w:val="00B640D4"/>
    <w:rsid w:val="00B64409"/>
    <w:rsid w:val="00B64B59"/>
    <w:rsid w:val="00B65156"/>
    <w:rsid w:val="00B65D7D"/>
    <w:rsid w:val="00B6737A"/>
    <w:rsid w:val="00B7073E"/>
    <w:rsid w:val="00B71C78"/>
    <w:rsid w:val="00B73893"/>
    <w:rsid w:val="00B73A7F"/>
    <w:rsid w:val="00B74672"/>
    <w:rsid w:val="00B75473"/>
    <w:rsid w:val="00B754CF"/>
    <w:rsid w:val="00B81748"/>
    <w:rsid w:val="00B823F4"/>
    <w:rsid w:val="00B86BF9"/>
    <w:rsid w:val="00B87E0B"/>
    <w:rsid w:val="00B901D4"/>
    <w:rsid w:val="00B9467C"/>
    <w:rsid w:val="00B95955"/>
    <w:rsid w:val="00B95F9E"/>
    <w:rsid w:val="00B96492"/>
    <w:rsid w:val="00B964F9"/>
    <w:rsid w:val="00B96C7C"/>
    <w:rsid w:val="00B97AD3"/>
    <w:rsid w:val="00BA0734"/>
    <w:rsid w:val="00BA0D53"/>
    <w:rsid w:val="00BA11C0"/>
    <w:rsid w:val="00BA18C9"/>
    <w:rsid w:val="00BA1FB4"/>
    <w:rsid w:val="00BA43F2"/>
    <w:rsid w:val="00BA44EC"/>
    <w:rsid w:val="00BA4FB4"/>
    <w:rsid w:val="00BA502E"/>
    <w:rsid w:val="00BA523E"/>
    <w:rsid w:val="00BB10F5"/>
    <w:rsid w:val="00BB385B"/>
    <w:rsid w:val="00BB5346"/>
    <w:rsid w:val="00BB6805"/>
    <w:rsid w:val="00BB70DF"/>
    <w:rsid w:val="00BC051F"/>
    <w:rsid w:val="00BC13F2"/>
    <w:rsid w:val="00BC3817"/>
    <w:rsid w:val="00BC48A1"/>
    <w:rsid w:val="00BC6EED"/>
    <w:rsid w:val="00BD0B88"/>
    <w:rsid w:val="00BD368F"/>
    <w:rsid w:val="00BD3D15"/>
    <w:rsid w:val="00BD46D4"/>
    <w:rsid w:val="00BD4EC0"/>
    <w:rsid w:val="00BD529B"/>
    <w:rsid w:val="00BD5925"/>
    <w:rsid w:val="00BD6AE9"/>
    <w:rsid w:val="00BE230E"/>
    <w:rsid w:val="00BE2FBC"/>
    <w:rsid w:val="00BE495C"/>
    <w:rsid w:val="00BE4F1F"/>
    <w:rsid w:val="00BE6ECA"/>
    <w:rsid w:val="00BE73EB"/>
    <w:rsid w:val="00BE7C65"/>
    <w:rsid w:val="00BE7E0C"/>
    <w:rsid w:val="00BE7E4D"/>
    <w:rsid w:val="00BF08F1"/>
    <w:rsid w:val="00BF11DF"/>
    <w:rsid w:val="00BF23E1"/>
    <w:rsid w:val="00BF2C81"/>
    <w:rsid w:val="00BF3A10"/>
    <w:rsid w:val="00BF58C3"/>
    <w:rsid w:val="00BF6891"/>
    <w:rsid w:val="00BF79EF"/>
    <w:rsid w:val="00C00721"/>
    <w:rsid w:val="00C009F6"/>
    <w:rsid w:val="00C0176F"/>
    <w:rsid w:val="00C0309A"/>
    <w:rsid w:val="00C03733"/>
    <w:rsid w:val="00C0496A"/>
    <w:rsid w:val="00C0573C"/>
    <w:rsid w:val="00C05F56"/>
    <w:rsid w:val="00C06998"/>
    <w:rsid w:val="00C0750A"/>
    <w:rsid w:val="00C0792C"/>
    <w:rsid w:val="00C115A9"/>
    <w:rsid w:val="00C12E72"/>
    <w:rsid w:val="00C137FE"/>
    <w:rsid w:val="00C14C07"/>
    <w:rsid w:val="00C15211"/>
    <w:rsid w:val="00C16318"/>
    <w:rsid w:val="00C1678A"/>
    <w:rsid w:val="00C2131D"/>
    <w:rsid w:val="00C217A2"/>
    <w:rsid w:val="00C25A95"/>
    <w:rsid w:val="00C25C97"/>
    <w:rsid w:val="00C266A2"/>
    <w:rsid w:val="00C26D0A"/>
    <w:rsid w:val="00C2765E"/>
    <w:rsid w:val="00C30B11"/>
    <w:rsid w:val="00C340DA"/>
    <w:rsid w:val="00C3622A"/>
    <w:rsid w:val="00C409A7"/>
    <w:rsid w:val="00C40F2F"/>
    <w:rsid w:val="00C41889"/>
    <w:rsid w:val="00C41EC3"/>
    <w:rsid w:val="00C42DA9"/>
    <w:rsid w:val="00C4329D"/>
    <w:rsid w:val="00C44D1C"/>
    <w:rsid w:val="00C45BA7"/>
    <w:rsid w:val="00C45DCA"/>
    <w:rsid w:val="00C46BAC"/>
    <w:rsid w:val="00C46FF2"/>
    <w:rsid w:val="00C507E8"/>
    <w:rsid w:val="00C508CB"/>
    <w:rsid w:val="00C50E59"/>
    <w:rsid w:val="00C5221D"/>
    <w:rsid w:val="00C54565"/>
    <w:rsid w:val="00C55602"/>
    <w:rsid w:val="00C55685"/>
    <w:rsid w:val="00C56D80"/>
    <w:rsid w:val="00C56F39"/>
    <w:rsid w:val="00C56F50"/>
    <w:rsid w:val="00C61022"/>
    <w:rsid w:val="00C61124"/>
    <w:rsid w:val="00C613FF"/>
    <w:rsid w:val="00C61777"/>
    <w:rsid w:val="00C61FAA"/>
    <w:rsid w:val="00C64805"/>
    <w:rsid w:val="00C70DE1"/>
    <w:rsid w:val="00C7116D"/>
    <w:rsid w:val="00C72CD0"/>
    <w:rsid w:val="00C734A8"/>
    <w:rsid w:val="00C74299"/>
    <w:rsid w:val="00C76245"/>
    <w:rsid w:val="00C80BFE"/>
    <w:rsid w:val="00C80CD9"/>
    <w:rsid w:val="00C8295E"/>
    <w:rsid w:val="00C82B91"/>
    <w:rsid w:val="00C83B52"/>
    <w:rsid w:val="00C84845"/>
    <w:rsid w:val="00C87310"/>
    <w:rsid w:val="00C916AB"/>
    <w:rsid w:val="00C91D59"/>
    <w:rsid w:val="00C93D4D"/>
    <w:rsid w:val="00C945D3"/>
    <w:rsid w:val="00C96DCF"/>
    <w:rsid w:val="00CA14F0"/>
    <w:rsid w:val="00CA1CE6"/>
    <w:rsid w:val="00CA36C2"/>
    <w:rsid w:val="00CA36E5"/>
    <w:rsid w:val="00CA39CE"/>
    <w:rsid w:val="00CA41E1"/>
    <w:rsid w:val="00CA7786"/>
    <w:rsid w:val="00CB0411"/>
    <w:rsid w:val="00CB0CCC"/>
    <w:rsid w:val="00CB124A"/>
    <w:rsid w:val="00CB1B40"/>
    <w:rsid w:val="00CB506A"/>
    <w:rsid w:val="00CB6214"/>
    <w:rsid w:val="00CC46E3"/>
    <w:rsid w:val="00CC501F"/>
    <w:rsid w:val="00CC62E2"/>
    <w:rsid w:val="00CC69D9"/>
    <w:rsid w:val="00CD0293"/>
    <w:rsid w:val="00CD1B6B"/>
    <w:rsid w:val="00CD3AEA"/>
    <w:rsid w:val="00CD6277"/>
    <w:rsid w:val="00CD72A5"/>
    <w:rsid w:val="00CE496C"/>
    <w:rsid w:val="00CE4DB4"/>
    <w:rsid w:val="00CE4E7A"/>
    <w:rsid w:val="00CE5D30"/>
    <w:rsid w:val="00CE62C1"/>
    <w:rsid w:val="00CF1507"/>
    <w:rsid w:val="00CF243C"/>
    <w:rsid w:val="00CF37D8"/>
    <w:rsid w:val="00CF5990"/>
    <w:rsid w:val="00CF77A3"/>
    <w:rsid w:val="00CF79CE"/>
    <w:rsid w:val="00D00840"/>
    <w:rsid w:val="00D01165"/>
    <w:rsid w:val="00D01348"/>
    <w:rsid w:val="00D02B47"/>
    <w:rsid w:val="00D03548"/>
    <w:rsid w:val="00D076AF"/>
    <w:rsid w:val="00D07A66"/>
    <w:rsid w:val="00D115AE"/>
    <w:rsid w:val="00D136F6"/>
    <w:rsid w:val="00D15B7C"/>
    <w:rsid w:val="00D15D2E"/>
    <w:rsid w:val="00D15FDF"/>
    <w:rsid w:val="00D1700B"/>
    <w:rsid w:val="00D1765F"/>
    <w:rsid w:val="00D17CF7"/>
    <w:rsid w:val="00D200FA"/>
    <w:rsid w:val="00D20B4D"/>
    <w:rsid w:val="00D214F5"/>
    <w:rsid w:val="00D238CB"/>
    <w:rsid w:val="00D25205"/>
    <w:rsid w:val="00D34D22"/>
    <w:rsid w:val="00D34ECC"/>
    <w:rsid w:val="00D351D2"/>
    <w:rsid w:val="00D36101"/>
    <w:rsid w:val="00D363BF"/>
    <w:rsid w:val="00D36DAF"/>
    <w:rsid w:val="00D40AE8"/>
    <w:rsid w:val="00D418DC"/>
    <w:rsid w:val="00D426E3"/>
    <w:rsid w:val="00D4288E"/>
    <w:rsid w:val="00D4448C"/>
    <w:rsid w:val="00D5000F"/>
    <w:rsid w:val="00D50DEC"/>
    <w:rsid w:val="00D5181E"/>
    <w:rsid w:val="00D550A1"/>
    <w:rsid w:val="00D57EF1"/>
    <w:rsid w:val="00D61018"/>
    <w:rsid w:val="00D61098"/>
    <w:rsid w:val="00D61492"/>
    <w:rsid w:val="00D621DB"/>
    <w:rsid w:val="00D64268"/>
    <w:rsid w:val="00D64B40"/>
    <w:rsid w:val="00D652AC"/>
    <w:rsid w:val="00D65B0D"/>
    <w:rsid w:val="00D65C9A"/>
    <w:rsid w:val="00D65D7C"/>
    <w:rsid w:val="00D65F12"/>
    <w:rsid w:val="00D66228"/>
    <w:rsid w:val="00D67D7B"/>
    <w:rsid w:val="00D70512"/>
    <w:rsid w:val="00D72A1B"/>
    <w:rsid w:val="00D74B5B"/>
    <w:rsid w:val="00D75660"/>
    <w:rsid w:val="00D76B87"/>
    <w:rsid w:val="00D77804"/>
    <w:rsid w:val="00D77C60"/>
    <w:rsid w:val="00D77D45"/>
    <w:rsid w:val="00D81991"/>
    <w:rsid w:val="00D838D1"/>
    <w:rsid w:val="00D83B63"/>
    <w:rsid w:val="00D83C46"/>
    <w:rsid w:val="00D83D2C"/>
    <w:rsid w:val="00D84704"/>
    <w:rsid w:val="00D84BBA"/>
    <w:rsid w:val="00D85ED1"/>
    <w:rsid w:val="00D878A1"/>
    <w:rsid w:val="00D87BC5"/>
    <w:rsid w:val="00D9222E"/>
    <w:rsid w:val="00D92672"/>
    <w:rsid w:val="00D936EE"/>
    <w:rsid w:val="00D941BE"/>
    <w:rsid w:val="00D95415"/>
    <w:rsid w:val="00D969AA"/>
    <w:rsid w:val="00D969CA"/>
    <w:rsid w:val="00D96E8C"/>
    <w:rsid w:val="00D97111"/>
    <w:rsid w:val="00DA006F"/>
    <w:rsid w:val="00DA18EF"/>
    <w:rsid w:val="00DA1BFA"/>
    <w:rsid w:val="00DA2A49"/>
    <w:rsid w:val="00DA5940"/>
    <w:rsid w:val="00DA59B3"/>
    <w:rsid w:val="00DA65C2"/>
    <w:rsid w:val="00DB1021"/>
    <w:rsid w:val="00DB6807"/>
    <w:rsid w:val="00DB788C"/>
    <w:rsid w:val="00DC16F8"/>
    <w:rsid w:val="00DC4271"/>
    <w:rsid w:val="00DC5F04"/>
    <w:rsid w:val="00DC71EF"/>
    <w:rsid w:val="00DD05B0"/>
    <w:rsid w:val="00DD066B"/>
    <w:rsid w:val="00DD0A20"/>
    <w:rsid w:val="00DD13BE"/>
    <w:rsid w:val="00DD1F90"/>
    <w:rsid w:val="00DD2CB6"/>
    <w:rsid w:val="00DD52DF"/>
    <w:rsid w:val="00DD5DAB"/>
    <w:rsid w:val="00DE0C9A"/>
    <w:rsid w:val="00DE2CA4"/>
    <w:rsid w:val="00DE3146"/>
    <w:rsid w:val="00DE6199"/>
    <w:rsid w:val="00DE69E3"/>
    <w:rsid w:val="00DE6BBC"/>
    <w:rsid w:val="00DE6C64"/>
    <w:rsid w:val="00DE6EBA"/>
    <w:rsid w:val="00DF0E09"/>
    <w:rsid w:val="00DF5376"/>
    <w:rsid w:val="00DF671C"/>
    <w:rsid w:val="00DF691B"/>
    <w:rsid w:val="00E017B8"/>
    <w:rsid w:val="00E01B16"/>
    <w:rsid w:val="00E04C2F"/>
    <w:rsid w:val="00E05583"/>
    <w:rsid w:val="00E058B6"/>
    <w:rsid w:val="00E062B0"/>
    <w:rsid w:val="00E07041"/>
    <w:rsid w:val="00E11373"/>
    <w:rsid w:val="00E11821"/>
    <w:rsid w:val="00E15B78"/>
    <w:rsid w:val="00E163E5"/>
    <w:rsid w:val="00E2076F"/>
    <w:rsid w:val="00E229C9"/>
    <w:rsid w:val="00E22C7E"/>
    <w:rsid w:val="00E235D5"/>
    <w:rsid w:val="00E23772"/>
    <w:rsid w:val="00E24694"/>
    <w:rsid w:val="00E27057"/>
    <w:rsid w:val="00E3116D"/>
    <w:rsid w:val="00E312C6"/>
    <w:rsid w:val="00E31442"/>
    <w:rsid w:val="00E31E2D"/>
    <w:rsid w:val="00E3378B"/>
    <w:rsid w:val="00E36454"/>
    <w:rsid w:val="00E40A8B"/>
    <w:rsid w:val="00E40E04"/>
    <w:rsid w:val="00E41859"/>
    <w:rsid w:val="00E41D53"/>
    <w:rsid w:val="00E43466"/>
    <w:rsid w:val="00E436F5"/>
    <w:rsid w:val="00E450B8"/>
    <w:rsid w:val="00E4614D"/>
    <w:rsid w:val="00E47724"/>
    <w:rsid w:val="00E479FB"/>
    <w:rsid w:val="00E508AA"/>
    <w:rsid w:val="00E52455"/>
    <w:rsid w:val="00E5575D"/>
    <w:rsid w:val="00E55E7E"/>
    <w:rsid w:val="00E563E4"/>
    <w:rsid w:val="00E56E0F"/>
    <w:rsid w:val="00E57958"/>
    <w:rsid w:val="00E6133A"/>
    <w:rsid w:val="00E61C1B"/>
    <w:rsid w:val="00E63359"/>
    <w:rsid w:val="00E64446"/>
    <w:rsid w:val="00E65793"/>
    <w:rsid w:val="00E66E41"/>
    <w:rsid w:val="00E66F11"/>
    <w:rsid w:val="00E67283"/>
    <w:rsid w:val="00E672A9"/>
    <w:rsid w:val="00E7291A"/>
    <w:rsid w:val="00E72F4D"/>
    <w:rsid w:val="00E738F3"/>
    <w:rsid w:val="00E74D43"/>
    <w:rsid w:val="00E82CFE"/>
    <w:rsid w:val="00E83EBE"/>
    <w:rsid w:val="00E84919"/>
    <w:rsid w:val="00E85945"/>
    <w:rsid w:val="00E85A3D"/>
    <w:rsid w:val="00E874E2"/>
    <w:rsid w:val="00E877FA"/>
    <w:rsid w:val="00E87B86"/>
    <w:rsid w:val="00E90B54"/>
    <w:rsid w:val="00E91B17"/>
    <w:rsid w:val="00E927AE"/>
    <w:rsid w:val="00E94C2D"/>
    <w:rsid w:val="00E9644B"/>
    <w:rsid w:val="00EA32B4"/>
    <w:rsid w:val="00EA35D0"/>
    <w:rsid w:val="00EA45CE"/>
    <w:rsid w:val="00EA630A"/>
    <w:rsid w:val="00EA6319"/>
    <w:rsid w:val="00EB12AF"/>
    <w:rsid w:val="00EB2F67"/>
    <w:rsid w:val="00EB30EC"/>
    <w:rsid w:val="00EB3605"/>
    <w:rsid w:val="00EB363F"/>
    <w:rsid w:val="00EB39DE"/>
    <w:rsid w:val="00EB3CAA"/>
    <w:rsid w:val="00EB606B"/>
    <w:rsid w:val="00EB65F0"/>
    <w:rsid w:val="00EB699D"/>
    <w:rsid w:val="00EB6F11"/>
    <w:rsid w:val="00EB7BE1"/>
    <w:rsid w:val="00EC1D70"/>
    <w:rsid w:val="00EC2D3D"/>
    <w:rsid w:val="00EC2F56"/>
    <w:rsid w:val="00EC50F0"/>
    <w:rsid w:val="00EC52AC"/>
    <w:rsid w:val="00EC68F8"/>
    <w:rsid w:val="00EC6E0C"/>
    <w:rsid w:val="00EC7AB4"/>
    <w:rsid w:val="00ED15F4"/>
    <w:rsid w:val="00ED196E"/>
    <w:rsid w:val="00ED23EE"/>
    <w:rsid w:val="00ED69F5"/>
    <w:rsid w:val="00EE11EA"/>
    <w:rsid w:val="00EE13DD"/>
    <w:rsid w:val="00EE1F1C"/>
    <w:rsid w:val="00EE4864"/>
    <w:rsid w:val="00EE4B6E"/>
    <w:rsid w:val="00EE71FF"/>
    <w:rsid w:val="00EE7327"/>
    <w:rsid w:val="00EE79B7"/>
    <w:rsid w:val="00EF05F6"/>
    <w:rsid w:val="00EF3ECE"/>
    <w:rsid w:val="00EF4D45"/>
    <w:rsid w:val="00EF58F7"/>
    <w:rsid w:val="00EF6194"/>
    <w:rsid w:val="00EF6209"/>
    <w:rsid w:val="00EF6AE3"/>
    <w:rsid w:val="00EF712A"/>
    <w:rsid w:val="00EF73E8"/>
    <w:rsid w:val="00F00C99"/>
    <w:rsid w:val="00F01264"/>
    <w:rsid w:val="00F01305"/>
    <w:rsid w:val="00F018FE"/>
    <w:rsid w:val="00F02EDA"/>
    <w:rsid w:val="00F04B0E"/>
    <w:rsid w:val="00F0572E"/>
    <w:rsid w:val="00F06522"/>
    <w:rsid w:val="00F06B23"/>
    <w:rsid w:val="00F06FFE"/>
    <w:rsid w:val="00F077DC"/>
    <w:rsid w:val="00F10112"/>
    <w:rsid w:val="00F113EC"/>
    <w:rsid w:val="00F12DBD"/>
    <w:rsid w:val="00F13A51"/>
    <w:rsid w:val="00F1619F"/>
    <w:rsid w:val="00F177BE"/>
    <w:rsid w:val="00F179A6"/>
    <w:rsid w:val="00F17D90"/>
    <w:rsid w:val="00F217DD"/>
    <w:rsid w:val="00F21B1A"/>
    <w:rsid w:val="00F24DD3"/>
    <w:rsid w:val="00F2794A"/>
    <w:rsid w:val="00F27A80"/>
    <w:rsid w:val="00F30761"/>
    <w:rsid w:val="00F30D4F"/>
    <w:rsid w:val="00F31891"/>
    <w:rsid w:val="00F3508F"/>
    <w:rsid w:val="00F359B4"/>
    <w:rsid w:val="00F372A6"/>
    <w:rsid w:val="00F421DF"/>
    <w:rsid w:val="00F42D14"/>
    <w:rsid w:val="00F43096"/>
    <w:rsid w:val="00F447B6"/>
    <w:rsid w:val="00F466BA"/>
    <w:rsid w:val="00F46F4C"/>
    <w:rsid w:val="00F474F2"/>
    <w:rsid w:val="00F51167"/>
    <w:rsid w:val="00F51982"/>
    <w:rsid w:val="00F53025"/>
    <w:rsid w:val="00F541F2"/>
    <w:rsid w:val="00F54CCC"/>
    <w:rsid w:val="00F555C7"/>
    <w:rsid w:val="00F57707"/>
    <w:rsid w:val="00F60FF2"/>
    <w:rsid w:val="00F649A3"/>
    <w:rsid w:val="00F64B6D"/>
    <w:rsid w:val="00F669F5"/>
    <w:rsid w:val="00F66FDE"/>
    <w:rsid w:val="00F67228"/>
    <w:rsid w:val="00F67A4A"/>
    <w:rsid w:val="00F712D3"/>
    <w:rsid w:val="00F71323"/>
    <w:rsid w:val="00F737E2"/>
    <w:rsid w:val="00F76321"/>
    <w:rsid w:val="00F7787B"/>
    <w:rsid w:val="00F83376"/>
    <w:rsid w:val="00F842CD"/>
    <w:rsid w:val="00F84468"/>
    <w:rsid w:val="00F8555A"/>
    <w:rsid w:val="00F860E5"/>
    <w:rsid w:val="00F86D4A"/>
    <w:rsid w:val="00F87F0B"/>
    <w:rsid w:val="00F916D5"/>
    <w:rsid w:val="00F95601"/>
    <w:rsid w:val="00FA03CE"/>
    <w:rsid w:val="00FA0BCD"/>
    <w:rsid w:val="00FA1CD7"/>
    <w:rsid w:val="00FA3F14"/>
    <w:rsid w:val="00FA432A"/>
    <w:rsid w:val="00FA4B73"/>
    <w:rsid w:val="00FA5189"/>
    <w:rsid w:val="00FA60BD"/>
    <w:rsid w:val="00FB0C7A"/>
    <w:rsid w:val="00FB1964"/>
    <w:rsid w:val="00FB1E21"/>
    <w:rsid w:val="00FB58FA"/>
    <w:rsid w:val="00FB6505"/>
    <w:rsid w:val="00FC0485"/>
    <w:rsid w:val="00FC04F4"/>
    <w:rsid w:val="00FC0B7F"/>
    <w:rsid w:val="00FC1B07"/>
    <w:rsid w:val="00FC2B84"/>
    <w:rsid w:val="00FC478E"/>
    <w:rsid w:val="00FC781C"/>
    <w:rsid w:val="00FC7F03"/>
    <w:rsid w:val="00FD044A"/>
    <w:rsid w:val="00FD069A"/>
    <w:rsid w:val="00FD4122"/>
    <w:rsid w:val="00FD422C"/>
    <w:rsid w:val="00FD5982"/>
    <w:rsid w:val="00FD63D9"/>
    <w:rsid w:val="00FD7D97"/>
    <w:rsid w:val="00FE01BA"/>
    <w:rsid w:val="00FE021E"/>
    <w:rsid w:val="00FE0A3E"/>
    <w:rsid w:val="00FE3610"/>
    <w:rsid w:val="00FE4808"/>
    <w:rsid w:val="00FE55A2"/>
    <w:rsid w:val="00FE57FA"/>
    <w:rsid w:val="00FE6060"/>
    <w:rsid w:val="00FE6509"/>
    <w:rsid w:val="00FE736C"/>
    <w:rsid w:val="00FE78EE"/>
    <w:rsid w:val="00FF061E"/>
    <w:rsid w:val="00FF14B8"/>
    <w:rsid w:val="00FF3C4C"/>
    <w:rsid w:val="00FF3E6D"/>
    <w:rsid w:val="00FF3EDB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CF4"/>
    <w:pPr>
      <w:tabs>
        <w:tab w:val="center" w:pos="4677"/>
        <w:tab w:val="right" w:pos="9355"/>
      </w:tabs>
    </w:pPr>
  </w:style>
  <w:style w:type="character" w:styleId="a5">
    <w:name w:val="page number"/>
    <w:rsid w:val="00826CF4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826CF4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826CF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738F3"/>
    <w:rPr>
      <w:b/>
      <w:bCs/>
      <w:sz w:val="31"/>
      <w:szCs w:val="31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738F3"/>
    <w:pPr>
      <w:widowControl w:val="0"/>
      <w:shd w:val="clear" w:color="auto" w:fill="FFFFFF"/>
      <w:spacing w:after="3060" w:line="240" w:lineRule="atLeast"/>
    </w:pPr>
    <w:rPr>
      <w:b/>
      <w:bCs/>
      <w:sz w:val="31"/>
      <w:szCs w:val="31"/>
      <w:shd w:val="clear" w:color="auto" w:fill="FFFFFF"/>
    </w:rPr>
  </w:style>
  <w:style w:type="paragraph" w:styleId="a6">
    <w:name w:val="footer"/>
    <w:basedOn w:val="a"/>
    <w:link w:val="a7"/>
    <w:uiPriority w:val="99"/>
    <w:rsid w:val="00325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5CB3"/>
    <w:rPr>
      <w:sz w:val="24"/>
      <w:szCs w:val="24"/>
    </w:rPr>
  </w:style>
  <w:style w:type="paragraph" w:customStyle="1" w:styleId="10">
    <w:name w:val="Обычный1"/>
    <w:rsid w:val="00303A7B"/>
    <w:pPr>
      <w:suppressAutoHyphens/>
      <w:autoSpaceDN w:val="0"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a8">
    <w:name w:val="Основной текст_"/>
    <w:link w:val="11"/>
    <w:locked/>
    <w:rsid w:val="00B32311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8"/>
    <w:rsid w:val="00B32311"/>
    <w:pPr>
      <w:widowControl w:val="0"/>
      <w:shd w:val="clear" w:color="auto" w:fill="FFFFFF"/>
      <w:spacing w:line="324" w:lineRule="exact"/>
      <w:ind w:firstLine="720"/>
      <w:jc w:val="both"/>
    </w:pPr>
    <w:rPr>
      <w:sz w:val="29"/>
      <w:szCs w:val="29"/>
    </w:rPr>
  </w:style>
  <w:style w:type="paragraph" w:styleId="a9">
    <w:name w:val="Balloon Text"/>
    <w:basedOn w:val="a"/>
    <w:link w:val="aa"/>
    <w:rsid w:val="00C873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87310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17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D1B64"/>
    <w:rPr>
      <w:sz w:val="16"/>
      <w:szCs w:val="16"/>
    </w:rPr>
  </w:style>
  <w:style w:type="paragraph" w:styleId="ad">
    <w:name w:val="annotation text"/>
    <w:basedOn w:val="a"/>
    <w:link w:val="ae"/>
    <w:rsid w:val="002D1B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D1B64"/>
  </w:style>
  <w:style w:type="paragraph" w:styleId="af">
    <w:name w:val="annotation subject"/>
    <w:basedOn w:val="ad"/>
    <w:next w:val="ad"/>
    <w:link w:val="af0"/>
    <w:rsid w:val="002D1B64"/>
    <w:rPr>
      <w:b/>
      <w:bCs/>
    </w:rPr>
  </w:style>
  <w:style w:type="character" w:customStyle="1" w:styleId="af0">
    <w:name w:val="Тема примечания Знак"/>
    <w:basedOn w:val="ae"/>
    <w:link w:val="af"/>
    <w:rsid w:val="002D1B64"/>
    <w:rPr>
      <w:b/>
      <w:bCs/>
    </w:rPr>
  </w:style>
  <w:style w:type="paragraph" w:styleId="af1">
    <w:name w:val="List Paragraph"/>
    <w:basedOn w:val="a"/>
    <w:uiPriority w:val="34"/>
    <w:qFormat/>
    <w:rsid w:val="001D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CF4"/>
    <w:pPr>
      <w:tabs>
        <w:tab w:val="center" w:pos="4677"/>
        <w:tab w:val="right" w:pos="9355"/>
      </w:tabs>
    </w:pPr>
  </w:style>
  <w:style w:type="character" w:styleId="a5">
    <w:name w:val="page number"/>
    <w:rsid w:val="00826CF4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826CF4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826CF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738F3"/>
    <w:rPr>
      <w:b/>
      <w:bCs/>
      <w:sz w:val="31"/>
      <w:szCs w:val="31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738F3"/>
    <w:pPr>
      <w:widowControl w:val="0"/>
      <w:shd w:val="clear" w:color="auto" w:fill="FFFFFF"/>
      <w:spacing w:after="3060" w:line="240" w:lineRule="atLeast"/>
    </w:pPr>
    <w:rPr>
      <w:b/>
      <w:bCs/>
      <w:sz w:val="31"/>
      <w:szCs w:val="31"/>
      <w:shd w:val="clear" w:color="auto" w:fill="FFFFFF"/>
    </w:rPr>
  </w:style>
  <w:style w:type="paragraph" w:styleId="a6">
    <w:name w:val="footer"/>
    <w:basedOn w:val="a"/>
    <w:link w:val="a7"/>
    <w:uiPriority w:val="99"/>
    <w:rsid w:val="00325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5CB3"/>
    <w:rPr>
      <w:sz w:val="24"/>
      <w:szCs w:val="24"/>
    </w:rPr>
  </w:style>
  <w:style w:type="paragraph" w:customStyle="1" w:styleId="10">
    <w:name w:val="Обычный1"/>
    <w:rsid w:val="00303A7B"/>
    <w:pPr>
      <w:suppressAutoHyphens/>
      <w:autoSpaceDN w:val="0"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a8">
    <w:name w:val="Основной текст_"/>
    <w:link w:val="11"/>
    <w:locked/>
    <w:rsid w:val="00B32311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8"/>
    <w:rsid w:val="00B32311"/>
    <w:pPr>
      <w:widowControl w:val="0"/>
      <w:shd w:val="clear" w:color="auto" w:fill="FFFFFF"/>
      <w:spacing w:line="324" w:lineRule="exact"/>
      <w:ind w:firstLine="720"/>
      <w:jc w:val="both"/>
    </w:pPr>
    <w:rPr>
      <w:sz w:val="29"/>
      <w:szCs w:val="29"/>
    </w:rPr>
  </w:style>
  <w:style w:type="paragraph" w:styleId="a9">
    <w:name w:val="Balloon Text"/>
    <w:basedOn w:val="a"/>
    <w:link w:val="aa"/>
    <w:rsid w:val="00C873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87310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17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D1B64"/>
    <w:rPr>
      <w:sz w:val="16"/>
      <w:szCs w:val="16"/>
    </w:rPr>
  </w:style>
  <w:style w:type="paragraph" w:styleId="ad">
    <w:name w:val="annotation text"/>
    <w:basedOn w:val="a"/>
    <w:link w:val="ae"/>
    <w:rsid w:val="002D1B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D1B64"/>
  </w:style>
  <w:style w:type="paragraph" w:styleId="af">
    <w:name w:val="annotation subject"/>
    <w:basedOn w:val="ad"/>
    <w:next w:val="ad"/>
    <w:link w:val="af0"/>
    <w:rsid w:val="002D1B64"/>
    <w:rPr>
      <w:b/>
      <w:bCs/>
    </w:rPr>
  </w:style>
  <w:style w:type="character" w:customStyle="1" w:styleId="af0">
    <w:name w:val="Тема примечания Знак"/>
    <w:basedOn w:val="ae"/>
    <w:link w:val="af"/>
    <w:rsid w:val="002D1B64"/>
    <w:rPr>
      <w:b/>
      <w:bCs/>
    </w:rPr>
  </w:style>
  <w:style w:type="paragraph" w:styleId="af1">
    <w:name w:val="List Paragraph"/>
    <w:basedOn w:val="a"/>
    <w:uiPriority w:val="34"/>
    <w:qFormat/>
    <w:rsid w:val="001D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3" b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903" b="0" i="0" baseline="0">
                <a:latin typeface="Arial" panose="020B0604020202020204" pitchFamily="34" charset="0"/>
                <a:cs typeface="Arial" panose="020B0604020202020204" pitchFamily="34" charset="0"/>
              </a:rPr>
              <a:t>Динамика кредиторской задолженности предприятий</a:t>
            </a:r>
          </a:p>
        </c:rich>
      </c:tx>
      <c:layout>
        <c:manualLayout>
          <c:xMode val="edge"/>
          <c:yMode val="edge"/>
          <c:x val="0.15333323184771067"/>
          <c:y val="4.777314724615399E-4"/>
        </c:manualLayout>
      </c:layout>
      <c:overlay val="0"/>
      <c:spPr>
        <a:noFill/>
        <a:ln w="191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076337951902018"/>
          <c:y val="8.4178312955298207E-2"/>
          <c:w val="0.62122879028938138"/>
          <c:h val="0.49536428914127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кредиторской задолженности, в том числе: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0"/>
                  <c:y val="2.40421078372564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344936590251733E-4"/>
                  <c:y val="4.239535006859124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454829720359028E-4"/>
                  <c:y val="7.64229790714056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3333336745406299E-3"/>
                  <c:y val="1.3985331186224045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6666673490813396E-3"/>
                  <c:y val="1.3985331186224024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401</c:v>
                </c:pt>
                <c:pt idx="1">
                  <c:v>371</c:v>
                </c:pt>
                <c:pt idx="2">
                  <c:v>343</c:v>
                </c:pt>
                <c:pt idx="3">
                  <c:v>349</c:v>
                </c:pt>
                <c:pt idx="4">
                  <c:v>456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4.31025202015650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178061968445883E-3"/>
                  <c:y val="-1.10886003504448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172544850943504E-2"/>
                  <c:y val="7.5272593608569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4563697167261439E-4"/>
                  <c:y val="6.1134036374751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9162602745644446E-3"/>
                  <c:y val="1.78530428391205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234</c:v>
                </c:pt>
                <c:pt idx="1">
                  <c:v>180</c:v>
                </c:pt>
                <c:pt idx="2">
                  <c:v>167</c:v>
                </c:pt>
                <c:pt idx="3">
                  <c:v>171</c:v>
                </c:pt>
                <c:pt idx="4">
                  <c:v>260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транспорта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4.9812963840387553E-3"/>
                  <c:y val="1.4102073269368219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98844829125989E-2"/>
                  <c:y val="9.4528564436389257E-5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182045468181861E-2"/>
                  <c:y val="7.9918281801040873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804178412882789E-3"/>
                  <c:y val="3.364353544243812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765010370237551E-2"/>
                  <c:y val="1.3985370464711547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134</c:v>
                </c:pt>
                <c:pt idx="1">
                  <c:v>147</c:v>
                </c:pt>
                <c:pt idx="2">
                  <c:v>150</c:v>
                </c:pt>
                <c:pt idx="3">
                  <c:v>141</c:v>
                </c:pt>
                <c:pt idx="4">
                  <c:v>150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сфере дорожного хозяйства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h="50800"/>
              <a:bevelB h="50800"/>
            </a:sp3d>
          </c:spPr>
          <c:invertIfNegative val="0"/>
          <c:dLbls>
            <c:dLbl>
              <c:idx val="0"/>
              <c:layout>
                <c:manualLayout>
                  <c:x val="5.3174347677751874E-3"/>
                  <c:y val="9.3936003962391441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33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75681864223197E-3"/>
                  <c:y val="8.6636630015198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700"/>
                      <a:t>44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0681924418790148E-4"/>
                  <c:y val="1.710333969665657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26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709720292363533E-3"/>
                  <c:y val="2.564879890009479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36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8631155636625579E-3"/>
                  <c:y val="-4.6218830872235371E-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46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33</c:v>
                </c:pt>
                <c:pt idx="1">
                  <c:v>44</c:v>
                </c:pt>
                <c:pt idx="2">
                  <c:v>26</c:v>
                </c:pt>
                <c:pt idx="3">
                  <c:v>36</c:v>
                </c:pt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20864"/>
        <c:axId val="51639040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просроченных обязательств в общей сумме кредиторской задолженности,%</c:v>
                </c:pt>
              </c:strCache>
            </c:strRef>
          </c:tx>
          <c:dLbls>
            <c:dLbl>
              <c:idx val="0"/>
              <c:layout>
                <c:manualLayout>
                  <c:x val="-1.2929035651746596E-2"/>
                  <c:y val="-3.4902271621001603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904506876481336E-2"/>
                  <c:y val="3.350422200588010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306472076664271E-2"/>
                  <c:y val="-1.949152694115275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23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719613567215607E-2"/>
                  <c:y val="-1.478909814449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16</c:v>
                </c:pt>
                <c:pt idx="1">
                  <c:v>7</c:v>
                </c:pt>
                <c:pt idx="2">
                  <c:v>23</c:v>
                </c:pt>
                <c:pt idx="3">
                  <c:v>24</c:v>
                </c:pt>
                <c:pt idx="4">
                  <c:v>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40960"/>
        <c:axId val="52048256"/>
      </c:lineChart>
      <c:catAx>
        <c:axId val="51620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1639040"/>
        <c:crosses val="autoZero"/>
        <c:auto val="1"/>
        <c:lblAlgn val="ctr"/>
        <c:lblOffset val="100"/>
        <c:noMultiLvlLbl val="0"/>
      </c:catAx>
      <c:valAx>
        <c:axId val="5163904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5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5.4933751966024735E-2"/>
              <c:y val="0.25309363707350413"/>
            </c:manualLayout>
          </c:layout>
          <c:overlay val="0"/>
          <c:spPr>
            <a:noFill/>
            <a:ln w="19104">
              <a:noFill/>
            </a:ln>
          </c:spPr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51620864"/>
        <c:crosses val="autoZero"/>
        <c:crossBetween val="between"/>
      </c:valAx>
      <c:catAx>
        <c:axId val="51640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048256"/>
        <c:crosses val="autoZero"/>
        <c:auto val="1"/>
        <c:lblAlgn val="ctr"/>
        <c:lblOffset val="100"/>
        <c:noMultiLvlLbl val="0"/>
      </c:catAx>
      <c:valAx>
        <c:axId val="5204825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580" b="0" i="0" baseline="0">
                    <a:latin typeface="Arial" pitchFamily="34" charset="0"/>
                  </a:defRPr>
                </a:pPr>
                <a:r>
                  <a:rPr lang="ru-RU" sz="580" b="0" i="0" baseline="0">
                    <a:latin typeface="Arial" pitchFamily="34" charset="0"/>
                  </a:rPr>
                  <a:t>проценты</a:t>
                </a:r>
              </a:p>
            </c:rich>
          </c:tx>
          <c:overlay val="0"/>
          <c:spPr>
            <a:noFill/>
            <a:ln w="19104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51640960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"/>
          <c:y val="0.74424720011016632"/>
          <c:w val="0.66176090723469094"/>
          <c:h val="0.25575279988983368"/>
        </c:manualLayout>
      </c:layout>
      <c:overlay val="0"/>
      <c:txPr>
        <a:bodyPr/>
        <a:lstStyle/>
        <a:p>
          <a:pPr>
            <a:defRPr sz="58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160" baseline="0">
                <a:latin typeface="Arial" pitchFamily="34" charset="0"/>
              </a:defRPr>
            </a:pPr>
            <a:r>
              <a:rPr lang="ru-RU" sz="1071" b="0" baseline="0">
                <a:latin typeface="Arial" pitchFamily="34" charset="0"/>
                <a:cs typeface="Times New Roman" pitchFamily="18" charset="0"/>
              </a:rPr>
              <a:t>Структура кредиторской задолженности предприятий,%</a:t>
            </a:r>
          </a:p>
        </c:rich>
      </c:tx>
      <c:layout>
        <c:manualLayout>
          <c:xMode val="edge"/>
          <c:yMode val="edge"/>
          <c:x val="0.10521976730520624"/>
          <c:y val="4.9200492004920051E-3"/>
        </c:manualLayout>
      </c:layout>
      <c:overlay val="0"/>
      <c:spPr>
        <a:noFill/>
        <a:ln w="2266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467202071789035E-2"/>
          <c:y val="0.12956349206349399"/>
          <c:w val="0.6108444001259723"/>
          <c:h val="0.675787089113861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кредиторы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28.9</c:v>
                </c:pt>
                <c:pt idx="1">
                  <c:v>25.1</c:v>
                </c:pt>
                <c:pt idx="2">
                  <c:v>25</c:v>
                </c:pt>
                <c:pt idx="3">
                  <c:v>25</c:v>
                </c:pt>
                <c:pt idx="4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авансы полученные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2.39277612154046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4046244566836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827367083245075E-2"/>
                  <c:y val="4.7337278106508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820460704607047E-2"/>
                  <c:y val="8.67256918439298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3067519994661984E-3"/>
                  <c:y val="4.9888242480427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66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0.4</c:v>
                </c:pt>
                <c:pt idx="1">
                  <c:v>4.5999999999999996</c:v>
                </c:pt>
                <c:pt idx="2">
                  <c:v>1.7</c:v>
                </c:pt>
                <c:pt idx="3">
                  <c:v>0.9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государственные внебюджетные фонды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4"/>
              <c:layout>
                <c:manualLayout>
                  <c:x val="1.4536652480325834E-2"/>
                  <c:y val="4.9888242480427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7.2</c:v>
                </c:pt>
                <c:pt idx="1">
                  <c:v>6.9</c:v>
                </c:pt>
                <c:pt idx="2">
                  <c:v>8.1999999999999993</c:v>
                </c:pt>
                <c:pt idx="3">
                  <c:v>9</c:v>
                </c:pt>
                <c:pt idx="4">
                  <c:v>8.9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налоги и сборы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19.899999999999999</c:v>
                </c:pt>
                <c:pt idx="1">
                  <c:v>19</c:v>
                </c:pt>
                <c:pt idx="2">
                  <c:v>20.100000000000001</c:v>
                </c:pt>
                <c:pt idx="3">
                  <c:v>20.100000000000001</c:v>
                </c:pt>
                <c:pt idx="4">
                  <c:v>26.9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оплата труда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Лист1!$F$2:$F$6</c:f>
              <c:numCache>
                <c:formatCode>0.0</c:formatCode>
                <c:ptCount val="5"/>
                <c:pt idx="0">
                  <c:v>10.5</c:v>
                </c:pt>
                <c:pt idx="1">
                  <c:v>10.7</c:v>
                </c:pt>
                <c:pt idx="2">
                  <c:v>11.7</c:v>
                </c:pt>
                <c:pt idx="3">
                  <c:v>11</c:v>
                </c:pt>
                <c:pt idx="4">
                  <c:v>8.1999999999999993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поставщики и подрядчики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Лист1!$G$2:$G$6</c:f>
              <c:numCache>
                <c:formatCode>0.0</c:formatCode>
                <c:ptCount val="5"/>
                <c:pt idx="0">
                  <c:v>33.1</c:v>
                </c:pt>
                <c:pt idx="1">
                  <c:v>33.700000000000003</c:v>
                </c:pt>
                <c:pt idx="2">
                  <c:v>33.200000000000003</c:v>
                </c:pt>
                <c:pt idx="3">
                  <c:v>34.1</c:v>
                </c:pt>
                <c:pt idx="4">
                  <c:v>32.6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1926144"/>
        <c:axId val="51927680"/>
      </c:barChart>
      <c:catAx>
        <c:axId val="51926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14"/>
            </a:pPr>
            <a:endParaRPr lang="ru-RU"/>
          </a:p>
        </c:txPr>
        <c:crossAx val="51927680"/>
        <c:crosses val="autoZero"/>
        <c:auto val="1"/>
        <c:lblAlgn val="ctr"/>
        <c:lblOffset val="100"/>
        <c:noMultiLvlLbl val="0"/>
      </c:catAx>
      <c:valAx>
        <c:axId val="519276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51926144"/>
        <c:crosses val="autoZero"/>
        <c:crossBetween val="between"/>
      </c:valAx>
      <c:spPr>
        <a:gradFill flip="none" rotWithShape="1">
          <a:gsLst>
            <a:gs pos="0">
              <a:srgbClr val="FFC000"/>
            </a:gs>
            <a:gs pos="64999">
              <a:srgbClr val="F0EBD5"/>
            </a:gs>
            <a:gs pos="100000">
              <a:srgbClr val="D1C39F"/>
            </a:gs>
          </a:gsLst>
          <a:path path="circle">
            <a:fillToRect l="100000" t="100000"/>
          </a:path>
          <a:tileRect r="-100000" b="-100000"/>
        </a:gradFill>
        <a:ln>
          <a:noFill/>
        </a:ln>
      </c:spPr>
    </c:plotArea>
    <c:legend>
      <c:legendPos val="r"/>
      <c:layout>
        <c:manualLayout>
          <c:xMode val="edge"/>
          <c:yMode val="edge"/>
          <c:x val="0.66948485916872336"/>
          <c:y val="0.20810762123369264"/>
          <c:w val="0.31662612136169543"/>
          <c:h val="0.65380441835914427"/>
        </c:manualLayout>
      </c:layout>
      <c:overlay val="0"/>
      <c:txPr>
        <a:bodyPr/>
        <a:lstStyle/>
        <a:p>
          <a:pPr>
            <a:defRPr sz="652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3" b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903" b="0" i="0" baseline="0">
                <a:latin typeface="Arial" panose="020B0604020202020204" pitchFamily="34" charset="0"/>
                <a:cs typeface="Arial" panose="020B0604020202020204" pitchFamily="34" charset="0"/>
              </a:rPr>
              <a:t>Динамика дебиторской задолженности предприятий</a:t>
            </a:r>
          </a:p>
        </c:rich>
      </c:tx>
      <c:layout>
        <c:manualLayout>
          <c:xMode val="edge"/>
          <c:yMode val="edge"/>
          <c:x val="0.14366666368970538"/>
          <c:y val="4.0711238982411399E-2"/>
        </c:manualLayout>
      </c:layout>
      <c:overlay val="0"/>
      <c:spPr>
        <a:noFill/>
        <a:ln w="191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076343077202685"/>
          <c:y val="0.15659407696653721"/>
          <c:w val="0.63172223275571582"/>
          <c:h val="0.46464236797152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дебиторской задолженности, в том числе: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0"/>
                  <c:y val="2.40421078372564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344936590251733E-4"/>
                  <c:y val="4.239535006859124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454829720359028E-4"/>
                  <c:y val="7.64229790714056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3333336745406299E-3"/>
                  <c:y val="1.3985331186224045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6666673490813396E-3"/>
                  <c:y val="1.3985331186224024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400</c:v>
                </c:pt>
                <c:pt idx="1">
                  <c:v>392</c:v>
                </c:pt>
                <c:pt idx="2">
                  <c:v>417</c:v>
                </c:pt>
                <c:pt idx="3">
                  <c:v>414</c:v>
                </c:pt>
                <c:pt idx="4">
                  <c:v>374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4.31025202015650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17807076094342E-3"/>
                  <c:y val="5.50591538824135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172544850943504E-2"/>
                  <c:y val="7.5272593608569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4563697167261439E-4"/>
                  <c:y val="6.1134036374751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9162602745644446E-3"/>
                  <c:y val="1.78530428391205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1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317</c:v>
                </c:pt>
                <c:pt idx="1">
                  <c:v>313</c:v>
                </c:pt>
                <c:pt idx="2">
                  <c:v>300</c:v>
                </c:pt>
                <c:pt idx="3">
                  <c:v>283</c:v>
                </c:pt>
                <c:pt idx="4">
                  <c:v>275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транспорта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4.9812974476642416E-3"/>
                  <c:y val="1.4102073269368219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600215328482745E-3"/>
                  <c:y val="4.248207291845529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000058932576295E-3"/>
                  <c:y val="7.9918281801040873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804178412882789E-3"/>
                  <c:y val="3.364353544243812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765010370237551E-2"/>
                  <c:y val="1.3985370464711547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62</c:v>
                </c:pt>
                <c:pt idx="1">
                  <c:v>57</c:v>
                </c:pt>
                <c:pt idx="2">
                  <c:v>96</c:v>
                </c:pt>
                <c:pt idx="3">
                  <c:v>97</c:v>
                </c:pt>
                <c:pt idx="4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сфере дорожного хозяйства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h="50800"/>
              <a:bevelB h="50800"/>
            </a:sp3d>
          </c:spPr>
          <c:invertIfNegative val="0"/>
          <c:dLbls>
            <c:dLbl>
              <c:idx val="0"/>
              <c:layout>
                <c:manualLayout>
                  <c:x val="-1.1142957422461384E-3"/>
                  <c:y val="9.3934759135541734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700"/>
                    </a:pPr>
                    <a:r>
                      <a:rPr lang="ru-RU" sz="700"/>
                      <a:t>20</a:t>
                    </a:r>
                    <a:endParaRPr lang="en-US" sz="700"/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75681864223197E-3"/>
                  <c:y val="8.6636630015198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sz="700"/>
                      <a:t>23</a:t>
                    </a:r>
                    <a:endParaRPr lang="en-US" sz="700"/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028582292650207E-2"/>
                  <c:y val="7.2437674262679783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22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708877439702753E-3"/>
                  <c:y val="1.000232729800220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sz="800"/>
                      <a:t>34</a:t>
                    </a:r>
                    <a:endParaRPr lang="en-US" sz="800"/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8240858297472004E-3"/>
                  <c:y val="3.6864002048834919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1</a:t>
                    </a:r>
                    <a:r>
                      <a:rPr lang="ru-RU" sz="600"/>
                      <a:t>9</a:t>
                    </a:r>
                    <a:endParaRPr lang="en-US" sz="600"/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20</c:v>
                </c:pt>
                <c:pt idx="1">
                  <c:v>23</c:v>
                </c:pt>
                <c:pt idx="2">
                  <c:v>22</c:v>
                </c:pt>
                <c:pt idx="3">
                  <c:v>34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269824"/>
        <c:axId val="52271360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просроченных обязательств в общей сумме дебиторской задолженности,%</c:v>
                </c:pt>
              </c:strCache>
            </c:strRef>
          </c:tx>
          <c:dLbls>
            <c:dLbl>
              <c:idx val="0"/>
              <c:layout>
                <c:manualLayout>
                  <c:x val="-2.579264307299587E-2"/>
                  <c:y val="-3.4902167827390966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332011416386296E-2"/>
                  <c:y val="-2.923729041172911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49</a:t>
                    </a:r>
                    <a:endParaRPr lang="en-US"/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306472076664271E-2"/>
                  <c:y val="-1.949152694115275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50</c:v>
                </c:pt>
                <c:pt idx="1">
                  <c:v>49</c:v>
                </c:pt>
                <c:pt idx="2">
                  <c:v>46</c:v>
                </c:pt>
                <c:pt idx="3">
                  <c:v>44</c:v>
                </c:pt>
                <c:pt idx="4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289920"/>
        <c:axId val="52291456"/>
      </c:lineChart>
      <c:catAx>
        <c:axId val="52269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271360"/>
        <c:crosses val="autoZero"/>
        <c:auto val="1"/>
        <c:lblAlgn val="ctr"/>
        <c:lblOffset val="100"/>
        <c:noMultiLvlLbl val="0"/>
      </c:catAx>
      <c:valAx>
        <c:axId val="5227136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5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5.4933751966024735E-2"/>
              <c:y val="0.25309363707350413"/>
            </c:manualLayout>
          </c:layout>
          <c:overlay val="0"/>
          <c:spPr>
            <a:noFill/>
            <a:ln w="19104">
              <a:noFill/>
            </a:ln>
          </c:spPr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52269824"/>
        <c:crosses val="autoZero"/>
        <c:crossBetween val="between"/>
      </c:valAx>
      <c:catAx>
        <c:axId val="52289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291456"/>
        <c:crosses val="autoZero"/>
        <c:auto val="1"/>
        <c:lblAlgn val="ctr"/>
        <c:lblOffset val="100"/>
        <c:noMultiLvlLbl val="0"/>
      </c:catAx>
      <c:valAx>
        <c:axId val="5229145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580" b="0" i="0" baseline="0">
                    <a:latin typeface="Arial" pitchFamily="34" charset="0"/>
                  </a:defRPr>
                </a:pPr>
                <a:r>
                  <a:rPr lang="ru-RU" sz="580" b="0" i="0" baseline="0">
                    <a:latin typeface="Arial" pitchFamily="34" charset="0"/>
                  </a:rPr>
                  <a:t>проценты</a:t>
                </a:r>
              </a:p>
            </c:rich>
          </c:tx>
          <c:overlay val="0"/>
          <c:spPr>
            <a:noFill/>
            <a:ln w="19104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52289920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"/>
          <c:y val="0.76620512681301167"/>
          <c:w val="0.75201014178856029"/>
          <c:h val="0.23079864224619329"/>
        </c:manualLayout>
      </c:layout>
      <c:overlay val="0"/>
      <c:txPr>
        <a:bodyPr/>
        <a:lstStyle/>
        <a:p>
          <a:pPr>
            <a:defRPr sz="58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160" baseline="0">
                <a:latin typeface="Arial" pitchFamily="34" charset="0"/>
              </a:defRPr>
            </a:pPr>
            <a:r>
              <a:rPr lang="ru-RU" sz="1071" b="0" baseline="0">
                <a:latin typeface="Arial" pitchFamily="34" charset="0"/>
                <a:cs typeface="Times New Roman" pitchFamily="18" charset="0"/>
              </a:rPr>
              <a:t>Структура дебиторской задолженности предприятий,%</a:t>
            </a:r>
          </a:p>
        </c:rich>
      </c:tx>
      <c:layout>
        <c:manualLayout>
          <c:xMode val="edge"/>
          <c:yMode val="edge"/>
          <c:x val="0.10521976730520624"/>
          <c:y val="4.9200492004920051E-3"/>
        </c:manualLayout>
      </c:layout>
      <c:overlay val="0"/>
      <c:spPr>
        <a:noFill/>
        <a:ln w="2266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069222116466211E-2"/>
          <c:y val="0.1808182899967086"/>
          <c:w val="0.57226622574342656"/>
          <c:h val="0.695108432170813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авансы выданные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-8.257232448997863E-3"/>
                  <c:y val="-2.6057044490536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691616433912265E-3"/>
                  <c:y val="-3.826023048497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878852720522137E-3"/>
                  <c:y val="-3.1195745195118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757705441044273E-3"/>
                  <c:y val="-2.495659615609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757705441044273E-3"/>
                  <c:y val="-1.8717447117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800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5.0999999999999996</c:v>
                </c:pt>
                <c:pt idx="1">
                  <c:v>6.2</c:v>
                </c:pt>
                <c:pt idx="2">
                  <c:v>7</c:v>
                </c:pt>
                <c:pt idx="3">
                  <c:v>8</c:v>
                </c:pt>
                <c:pt idx="4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задолженность покупателей и заказчиков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2"/>
              <c:layout>
                <c:manualLayout>
                  <c:x val="2.3879780682138961E-3"/>
                  <c:y val="4.7338929244119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67635805723193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447468302480618E-3"/>
                  <c:y val="1.122801191235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66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79.099999999999994</c:v>
                </c:pt>
                <c:pt idx="1">
                  <c:v>78.2</c:v>
                </c:pt>
                <c:pt idx="2">
                  <c:v>70.599999999999994</c:v>
                </c:pt>
                <c:pt idx="3">
                  <c:v>70.099999999999994</c:v>
                </c:pt>
                <c:pt idx="4">
                  <c:v>71.900000000000006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прочая дебиторская задолженность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-3.7394514748209643E-7"/>
                  <c:y val="1.3028513980005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536652480325834E-2"/>
                  <c:y val="4.9888242480427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15.6</c:v>
                </c:pt>
                <c:pt idx="1">
                  <c:v>15.4</c:v>
                </c:pt>
                <c:pt idx="2">
                  <c:v>22.2</c:v>
                </c:pt>
                <c:pt idx="3">
                  <c:v>21.8</c:v>
                </c:pt>
                <c:pt idx="4">
                  <c:v>19.600000000000001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переплата налогов и сборов в бюджет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1.1583095466067172E-17"/>
                  <c:y val="-2.52530223494790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272500236307826E-3"/>
                  <c:y val="-2.52525252525252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15656565656565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</a:t>
                    </a:r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52525252525252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</a:t>
                    </a:r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3.11957451951183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800" b="0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  <c:pt idx="3">
                  <c:v>на 01.10.2018</c:v>
                </c:pt>
                <c:pt idx="4">
                  <c:v>на 01.01.2019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1973504"/>
        <c:axId val="51991680"/>
      </c:barChart>
      <c:catAx>
        <c:axId val="51973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14"/>
            </a:pPr>
            <a:endParaRPr lang="ru-RU"/>
          </a:p>
        </c:txPr>
        <c:crossAx val="51991680"/>
        <c:crosses val="autoZero"/>
        <c:auto val="1"/>
        <c:lblAlgn val="ctr"/>
        <c:lblOffset val="100"/>
        <c:noMultiLvlLbl val="0"/>
      </c:catAx>
      <c:valAx>
        <c:axId val="519916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51973504"/>
        <c:crosses val="autoZero"/>
        <c:crossBetween val="between"/>
      </c:valAx>
      <c:spPr>
        <a:gradFill flip="none" rotWithShape="1">
          <a:gsLst>
            <a:gs pos="0">
              <a:srgbClr val="FFC000"/>
            </a:gs>
            <a:gs pos="64999">
              <a:srgbClr val="F0EBD5"/>
            </a:gs>
            <a:gs pos="100000">
              <a:srgbClr val="D1C39F"/>
            </a:gs>
          </a:gsLst>
          <a:path path="circle">
            <a:fillToRect l="100000" t="100000"/>
          </a:path>
          <a:tileRect r="-100000" b="-100000"/>
        </a:gradFill>
        <a:ln>
          <a:noFill/>
        </a:ln>
      </c:spPr>
    </c:plotArea>
    <c:legend>
      <c:legendPos val="r"/>
      <c:layout>
        <c:manualLayout>
          <c:xMode val="edge"/>
          <c:yMode val="edge"/>
          <c:x val="0.62077816170576128"/>
          <c:y val="0.20810762123369264"/>
          <c:w val="0.36569005797352255"/>
          <c:h val="0.65380441835914427"/>
        </c:manualLayout>
      </c:layout>
      <c:overlay val="0"/>
      <c:txPr>
        <a:bodyPr/>
        <a:lstStyle/>
        <a:p>
          <a:pPr>
            <a:defRPr sz="652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79BA-A414-479C-89B4-B14204A6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</vt:lpstr>
    </vt:vector>
  </TitlesOfParts>
  <Company>-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</dc:title>
  <dc:creator>tarasovara</dc:creator>
  <cp:lastModifiedBy>Наталья Г. Бурцева</cp:lastModifiedBy>
  <cp:revision>91</cp:revision>
  <cp:lastPrinted>2019-05-06T12:28:00Z</cp:lastPrinted>
  <dcterms:created xsi:type="dcterms:W3CDTF">2019-04-29T10:14:00Z</dcterms:created>
  <dcterms:modified xsi:type="dcterms:W3CDTF">2019-05-07T06:32:00Z</dcterms:modified>
</cp:coreProperties>
</file>