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F4" w:rsidRPr="00C916AB" w:rsidRDefault="00826CF4" w:rsidP="00C916AB">
      <w:pPr>
        <w:jc w:val="center"/>
        <w:rPr>
          <w:sz w:val="28"/>
          <w:szCs w:val="28"/>
        </w:rPr>
      </w:pPr>
      <w:r w:rsidRPr="00C916AB">
        <w:rPr>
          <w:sz w:val="28"/>
          <w:szCs w:val="28"/>
        </w:rPr>
        <w:t>Сводная информация</w:t>
      </w:r>
    </w:p>
    <w:p w:rsidR="00826CF4" w:rsidRPr="00C916AB" w:rsidRDefault="00826CF4" w:rsidP="00303DAF">
      <w:pPr>
        <w:jc w:val="center"/>
        <w:rPr>
          <w:sz w:val="28"/>
          <w:szCs w:val="28"/>
        </w:rPr>
      </w:pPr>
      <w:r w:rsidRPr="00C916AB">
        <w:rPr>
          <w:sz w:val="28"/>
          <w:szCs w:val="28"/>
        </w:rPr>
        <w:t xml:space="preserve">по мониторингу кредиторской </w:t>
      </w:r>
      <w:r w:rsidR="00AE6DA6">
        <w:rPr>
          <w:sz w:val="28"/>
          <w:szCs w:val="28"/>
        </w:rPr>
        <w:t xml:space="preserve">и дебиторской </w:t>
      </w:r>
      <w:r w:rsidRPr="00C916AB">
        <w:rPr>
          <w:sz w:val="28"/>
          <w:szCs w:val="28"/>
        </w:rPr>
        <w:t>задолж</w:t>
      </w:r>
      <w:r w:rsidR="00303DAF">
        <w:rPr>
          <w:sz w:val="28"/>
          <w:szCs w:val="28"/>
        </w:rPr>
        <w:t xml:space="preserve">енности муниципальных унитарных </w:t>
      </w:r>
      <w:r w:rsidRPr="00C916AB">
        <w:rPr>
          <w:sz w:val="28"/>
          <w:szCs w:val="28"/>
        </w:rPr>
        <w:t>предприятий</w:t>
      </w:r>
      <w:r w:rsidR="00303DAF">
        <w:rPr>
          <w:sz w:val="28"/>
          <w:szCs w:val="28"/>
        </w:rPr>
        <w:t xml:space="preserve"> </w:t>
      </w:r>
      <w:r w:rsidRPr="00C916AB">
        <w:rPr>
          <w:sz w:val="28"/>
          <w:szCs w:val="28"/>
        </w:rPr>
        <w:t>города Липецка</w:t>
      </w:r>
      <w:r w:rsidR="00303DAF">
        <w:rPr>
          <w:sz w:val="28"/>
          <w:szCs w:val="28"/>
        </w:rPr>
        <w:t xml:space="preserve"> </w:t>
      </w:r>
      <w:r w:rsidRPr="00C916AB">
        <w:rPr>
          <w:sz w:val="28"/>
          <w:szCs w:val="28"/>
        </w:rPr>
        <w:t>по состоянию на 01.</w:t>
      </w:r>
      <w:r w:rsidR="00303DAF">
        <w:rPr>
          <w:sz w:val="28"/>
          <w:szCs w:val="28"/>
        </w:rPr>
        <w:t>01</w:t>
      </w:r>
      <w:r w:rsidR="00771445" w:rsidRPr="00C916AB">
        <w:rPr>
          <w:sz w:val="28"/>
          <w:szCs w:val="28"/>
        </w:rPr>
        <w:t>.201</w:t>
      </w:r>
      <w:r w:rsidR="00303DAF">
        <w:rPr>
          <w:sz w:val="28"/>
          <w:szCs w:val="28"/>
        </w:rPr>
        <w:t>8</w:t>
      </w:r>
    </w:p>
    <w:p w:rsidR="00826CF4" w:rsidRPr="00C916AB" w:rsidRDefault="00826CF4" w:rsidP="00C916AB">
      <w:pPr>
        <w:jc w:val="center"/>
        <w:rPr>
          <w:spacing w:val="10"/>
          <w:sz w:val="28"/>
          <w:szCs w:val="28"/>
        </w:rPr>
      </w:pPr>
    </w:p>
    <w:p w:rsidR="008C7D4C" w:rsidRDefault="00826CF4" w:rsidP="008C7D4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3DAF">
        <w:rPr>
          <w:spacing w:val="-4"/>
          <w:sz w:val="28"/>
          <w:szCs w:val="28"/>
        </w:rPr>
        <w:t>Сводная аналитическая информация по результатам мониторинга (</w:t>
      </w:r>
      <w:r w:rsidR="008130AD" w:rsidRPr="00303DAF">
        <w:rPr>
          <w:spacing w:val="-4"/>
          <w:sz w:val="28"/>
          <w:szCs w:val="28"/>
        </w:rPr>
        <w:t>т</w:t>
      </w:r>
      <w:r w:rsidRPr="00303DAF">
        <w:rPr>
          <w:spacing w:val="-4"/>
          <w:sz w:val="28"/>
          <w:szCs w:val="28"/>
        </w:rPr>
        <w:t>аблиц</w:t>
      </w:r>
      <w:r w:rsidR="0086754D">
        <w:rPr>
          <w:spacing w:val="-4"/>
          <w:sz w:val="28"/>
          <w:szCs w:val="28"/>
        </w:rPr>
        <w:t xml:space="preserve">ы </w:t>
      </w:r>
      <w:r w:rsidR="00071FA8" w:rsidRPr="00303DAF">
        <w:rPr>
          <w:spacing w:val="-4"/>
          <w:sz w:val="28"/>
          <w:szCs w:val="28"/>
        </w:rPr>
        <w:t xml:space="preserve"> №</w:t>
      </w:r>
      <w:r w:rsidR="0086754D">
        <w:rPr>
          <w:spacing w:val="-4"/>
          <w:sz w:val="28"/>
          <w:szCs w:val="28"/>
        </w:rPr>
        <w:t xml:space="preserve">1, </w:t>
      </w:r>
      <w:bookmarkStart w:id="0" w:name="_GoBack"/>
      <w:bookmarkEnd w:id="0"/>
      <w:r w:rsidR="00AE6DA6">
        <w:rPr>
          <w:spacing w:val="-4"/>
          <w:sz w:val="28"/>
          <w:szCs w:val="28"/>
        </w:rPr>
        <w:t>2</w:t>
      </w:r>
      <w:r w:rsidRPr="00303DAF">
        <w:rPr>
          <w:spacing w:val="-4"/>
          <w:sz w:val="28"/>
          <w:szCs w:val="28"/>
        </w:rPr>
        <w:t xml:space="preserve">) подготовлена на </w:t>
      </w:r>
      <w:proofErr w:type="gramStart"/>
      <w:r w:rsidRPr="00303DAF">
        <w:rPr>
          <w:spacing w:val="-4"/>
          <w:sz w:val="28"/>
          <w:szCs w:val="28"/>
        </w:rPr>
        <w:t>основании</w:t>
      </w:r>
      <w:proofErr w:type="gramEnd"/>
      <w:r w:rsidRPr="00303DAF">
        <w:rPr>
          <w:spacing w:val="-4"/>
          <w:sz w:val="28"/>
          <w:szCs w:val="28"/>
        </w:rPr>
        <w:t xml:space="preserve"> данных, предоставленных структурными подразделениями администрации города Липецка, осуществляющими функции и полномочия учредителя (далее – Учредитель) в отношении действующих на территории муниципального образования город </w:t>
      </w:r>
      <w:r w:rsidRPr="00C916AB">
        <w:rPr>
          <w:spacing w:val="-4"/>
          <w:sz w:val="28"/>
          <w:szCs w:val="28"/>
        </w:rPr>
        <w:t xml:space="preserve">Липецк </w:t>
      </w:r>
      <w:r w:rsidR="00E57958" w:rsidRPr="00C916AB">
        <w:rPr>
          <w:spacing w:val="-4"/>
          <w:sz w:val="28"/>
          <w:szCs w:val="28"/>
        </w:rPr>
        <w:t xml:space="preserve">муниципальных унитарных </w:t>
      </w:r>
      <w:r w:rsidRPr="00C916AB">
        <w:rPr>
          <w:spacing w:val="-4"/>
          <w:sz w:val="28"/>
          <w:szCs w:val="28"/>
        </w:rPr>
        <w:t>предприя</w:t>
      </w:r>
      <w:r w:rsidRPr="00303DAF">
        <w:rPr>
          <w:spacing w:val="-4"/>
          <w:sz w:val="28"/>
          <w:szCs w:val="28"/>
        </w:rPr>
        <w:t xml:space="preserve">тий </w:t>
      </w:r>
      <w:r w:rsidR="00E57958" w:rsidRPr="00303DAF">
        <w:rPr>
          <w:spacing w:val="-4"/>
          <w:sz w:val="28"/>
          <w:szCs w:val="28"/>
        </w:rPr>
        <w:t>(далее – предприятия)</w:t>
      </w:r>
      <w:r w:rsidRPr="00303DAF">
        <w:rPr>
          <w:spacing w:val="-4"/>
          <w:sz w:val="28"/>
          <w:szCs w:val="28"/>
        </w:rPr>
        <w:t>.</w:t>
      </w:r>
    </w:p>
    <w:p w:rsidR="00AE6DA6" w:rsidRDefault="00AE6DA6" w:rsidP="008C7D4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AE6DA6" w:rsidRDefault="00AE6DA6" w:rsidP="00AE6DA6">
      <w:pPr>
        <w:pStyle w:val="af1"/>
        <w:numPr>
          <w:ilvl w:val="0"/>
          <w:numId w:val="3"/>
        </w:num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AE6DA6">
        <w:rPr>
          <w:spacing w:val="-4"/>
          <w:sz w:val="28"/>
          <w:szCs w:val="28"/>
        </w:rPr>
        <w:t>Мониторинг кредиторской задолженности</w:t>
      </w:r>
      <w:r>
        <w:rPr>
          <w:spacing w:val="-4"/>
          <w:sz w:val="28"/>
          <w:szCs w:val="28"/>
        </w:rPr>
        <w:t xml:space="preserve"> </w:t>
      </w:r>
    </w:p>
    <w:p w:rsidR="00AE6DA6" w:rsidRDefault="00AE6DA6" w:rsidP="00AE6DA6">
      <w:pPr>
        <w:autoSpaceDE w:val="0"/>
        <w:autoSpaceDN w:val="0"/>
        <w:adjustRightInd w:val="0"/>
        <w:ind w:left="709"/>
        <w:jc w:val="center"/>
        <w:rPr>
          <w:spacing w:val="-4"/>
          <w:sz w:val="28"/>
          <w:szCs w:val="28"/>
        </w:rPr>
      </w:pPr>
      <w:r w:rsidRPr="00AE6DA6">
        <w:rPr>
          <w:spacing w:val="-4"/>
          <w:sz w:val="28"/>
          <w:szCs w:val="28"/>
        </w:rPr>
        <w:t>предприятий муниципального сектора экономики</w:t>
      </w:r>
    </w:p>
    <w:p w:rsidR="00AE6DA6" w:rsidRDefault="00AE6DA6" w:rsidP="00AE6DA6">
      <w:pPr>
        <w:autoSpaceDE w:val="0"/>
        <w:autoSpaceDN w:val="0"/>
        <w:adjustRightInd w:val="0"/>
        <w:ind w:left="709"/>
        <w:jc w:val="center"/>
        <w:rPr>
          <w:spacing w:val="-4"/>
          <w:sz w:val="28"/>
          <w:szCs w:val="28"/>
        </w:rPr>
      </w:pPr>
    </w:p>
    <w:p w:rsidR="00AE6DA6" w:rsidRDefault="00AE6DA6" w:rsidP="00AE6DA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AE6DA6">
        <w:rPr>
          <w:spacing w:val="-4"/>
          <w:sz w:val="28"/>
          <w:szCs w:val="28"/>
        </w:rPr>
        <w:t xml:space="preserve">По состоянию на 01.01.2018 в муниципальном секторе экономики финансово-хозяйственную деятельность осуществляли 13 предприятий, в том числе в сфере ЖКХ – 8, транспорта – 2, дорожного хозяйства и благоустройства – 3. </w:t>
      </w:r>
    </w:p>
    <w:p w:rsidR="00AE6DA6" w:rsidRPr="005544A0" w:rsidRDefault="00AE6DA6" w:rsidP="00AE6DA6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544A0">
        <w:rPr>
          <w:spacing w:val="-4"/>
          <w:sz w:val="28"/>
          <w:szCs w:val="28"/>
        </w:rPr>
        <w:t>С начала текущего года общая сумма кредиторской задолженности предприятий увеличилась на 17</w:t>
      </w:r>
      <w:r w:rsidR="00B477FD">
        <w:rPr>
          <w:spacing w:val="-4"/>
          <w:sz w:val="28"/>
          <w:szCs w:val="28"/>
        </w:rPr>
        <w:t>1</w:t>
      </w:r>
      <w:r w:rsidRPr="005544A0">
        <w:rPr>
          <w:spacing w:val="-4"/>
          <w:sz w:val="28"/>
          <w:szCs w:val="28"/>
        </w:rPr>
        <w:t xml:space="preserve"> млн. рублей (50%) и составила 518 млн. рублей. При этом доля задолженности </w:t>
      </w:r>
      <w:r w:rsidR="00B477FD">
        <w:rPr>
          <w:spacing w:val="-4"/>
          <w:sz w:val="28"/>
          <w:szCs w:val="28"/>
        </w:rPr>
        <w:t>от всех обязатель</w:t>
      </w:r>
      <w:proofErr w:type="gramStart"/>
      <w:r w:rsidR="00B477FD">
        <w:rPr>
          <w:spacing w:val="-4"/>
          <w:sz w:val="28"/>
          <w:szCs w:val="28"/>
        </w:rPr>
        <w:t xml:space="preserve">ств </w:t>
      </w:r>
      <w:r w:rsidRPr="005544A0">
        <w:rPr>
          <w:spacing w:val="-4"/>
          <w:sz w:val="28"/>
          <w:szCs w:val="28"/>
        </w:rPr>
        <w:t>пр</w:t>
      </w:r>
      <w:proofErr w:type="gramEnd"/>
      <w:r w:rsidRPr="005544A0">
        <w:rPr>
          <w:spacing w:val="-4"/>
          <w:sz w:val="28"/>
          <w:szCs w:val="28"/>
        </w:rPr>
        <w:t xml:space="preserve">едприятий ЖКХ составила 44%, транспорта – 29%, дорожного хозяйства и благоустройства </w:t>
      </w:r>
      <w:r w:rsidRPr="005544A0">
        <w:rPr>
          <w:spacing w:val="-4"/>
          <w:sz w:val="28"/>
          <w:szCs w:val="28"/>
        </w:rPr>
        <w:sym w:font="Symbol" w:char="F02D"/>
      </w:r>
      <w:r w:rsidRPr="005544A0">
        <w:rPr>
          <w:spacing w:val="-4"/>
          <w:sz w:val="28"/>
          <w:szCs w:val="28"/>
        </w:rPr>
        <w:t xml:space="preserve"> 27%.</w:t>
      </w:r>
    </w:p>
    <w:p w:rsidR="00AE6DA6" w:rsidRPr="00AE6DA6" w:rsidRDefault="00AE6DA6" w:rsidP="00AE6DA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C507E8" w:rsidRPr="00C916AB" w:rsidRDefault="00064EFA" w:rsidP="00AE6DA6">
      <w:pPr>
        <w:widowControl w:val="0"/>
        <w:jc w:val="center"/>
        <w:rPr>
          <w:spacing w:val="-4"/>
          <w:sz w:val="28"/>
          <w:szCs w:val="28"/>
        </w:rPr>
      </w:pPr>
      <w:r w:rsidRPr="00C916AB">
        <w:rPr>
          <w:noProof/>
          <w:sz w:val="28"/>
          <w:szCs w:val="28"/>
        </w:rPr>
        <w:drawing>
          <wp:inline distT="0" distB="0" distL="0" distR="0" wp14:anchorId="755DA895" wp14:editId="251941BC">
            <wp:extent cx="5296619" cy="4580626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77FD" w:rsidRDefault="00B477FD" w:rsidP="00C916AB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При этом значительный рост </w:t>
      </w:r>
      <w:r w:rsidRPr="00B477FD">
        <w:rPr>
          <w:spacing w:val="-4"/>
          <w:sz w:val="28"/>
          <w:szCs w:val="28"/>
        </w:rPr>
        <w:t>кредиторской задолженности</w:t>
      </w:r>
      <w:r>
        <w:rPr>
          <w:spacing w:val="-4"/>
          <w:sz w:val="28"/>
          <w:szCs w:val="28"/>
        </w:rPr>
        <w:t xml:space="preserve"> отмечен в сфере дорожного хозяйства и благоустройства – в 2,1 раза и в сфере транспорта – в 1,9 раз</w:t>
      </w:r>
      <w:r w:rsidR="00EE4864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.</w:t>
      </w:r>
    </w:p>
    <w:p w:rsidR="00B477FD" w:rsidRDefault="00B477FD" w:rsidP="00C916AB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разрезе предприятий </w:t>
      </w:r>
      <w:r w:rsidR="00C84845" w:rsidRPr="005544A0">
        <w:rPr>
          <w:spacing w:val="-4"/>
          <w:sz w:val="28"/>
          <w:szCs w:val="28"/>
        </w:rPr>
        <w:t>повышение</w:t>
      </w:r>
      <w:r w:rsidR="00246403" w:rsidRPr="005544A0">
        <w:rPr>
          <w:spacing w:val="-4"/>
          <w:sz w:val="28"/>
          <w:szCs w:val="28"/>
        </w:rPr>
        <w:t xml:space="preserve"> </w:t>
      </w:r>
      <w:r w:rsidR="00806EFD" w:rsidRPr="005544A0">
        <w:rPr>
          <w:spacing w:val="-4"/>
          <w:sz w:val="28"/>
          <w:szCs w:val="28"/>
        </w:rPr>
        <w:t>кредиторск</w:t>
      </w:r>
      <w:r w:rsidR="00C84845" w:rsidRPr="005544A0">
        <w:rPr>
          <w:spacing w:val="-4"/>
          <w:sz w:val="28"/>
          <w:szCs w:val="28"/>
        </w:rPr>
        <w:t>ой</w:t>
      </w:r>
      <w:r w:rsidR="00806EFD" w:rsidRPr="005544A0">
        <w:rPr>
          <w:spacing w:val="-4"/>
          <w:sz w:val="28"/>
          <w:szCs w:val="28"/>
        </w:rPr>
        <w:t xml:space="preserve"> задолженност</w:t>
      </w:r>
      <w:r w:rsidR="00C84845" w:rsidRPr="005544A0">
        <w:rPr>
          <w:spacing w:val="-4"/>
          <w:sz w:val="28"/>
          <w:szCs w:val="28"/>
        </w:rPr>
        <w:t>и отмеч</w:t>
      </w:r>
      <w:r>
        <w:rPr>
          <w:spacing w:val="-4"/>
          <w:sz w:val="28"/>
          <w:szCs w:val="28"/>
        </w:rPr>
        <w:t xml:space="preserve">ено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 w:rsidR="0043427A" w:rsidRPr="005544A0">
        <w:rPr>
          <w:spacing w:val="-4"/>
          <w:sz w:val="28"/>
          <w:szCs w:val="28"/>
        </w:rPr>
        <w:t>:</w:t>
      </w:r>
    </w:p>
    <w:p w:rsidR="006A1B7B" w:rsidRPr="00560EE3" w:rsidRDefault="009B775C" w:rsidP="00560EE3">
      <w:pPr>
        <w:pStyle w:val="af1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560EE3">
        <w:rPr>
          <w:spacing w:val="-4"/>
          <w:sz w:val="28"/>
          <w:szCs w:val="28"/>
        </w:rPr>
        <w:t>МК РСДП</w:t>
      </w:r>
      <w:r w:rsidR="00A07CB3" w:rsidRPr="00560EE3">
        <w:rPr>
          <w:spacing w:val="-4"/>
          <w:sz w:val="28"/>
          <w:szCs w:val="28"/>
        </w:rPr>
        <w:t xml:space="preserve"> с 35,5 до 1</w:t>
      </w:r>
      <w:r w:rsidR="007D5FAD" w:rsidRPr="00560EE3">
        <w:rPr>
          <w:spacing w:val="-4"/>
          <w:sz w:val="28"/>
          <w:szCs w:val="28"/>
        </w:rPr>
        <w:t>08</w:t>
      </w:r>
      <w:r w:rsidR="00A07CB3" w:rsidRPr="00560EE3">
        <w:rPr>
          <w:spacing w:val="-4"/>
          <w:sz w:val="28"/>
          <w:szCs w:val="28"/>
        </w:rPr>
        <w:t xml:space="preserve"> млн. рублей</w:t>
      </w:r>
      <w:r w:rsidRPr="00560EE3">
        <w:rPr>
          <w:spacing w:val="-4"/>
          <w:sz w:val="28"/>
          <w:szCs w:val="28"/>
        </w:rPr>
        <w:t xml:space="preserve"> (↑ на </w:t>
      </w:r>
      <w:r w:rsidR="007D5FAD" w:rsidRPr="00560EE3">
        <w:rPr>
          <w:spacing w:val="-4"/>
          <w:sz w:val="28"/>
          <w:szCs w:val="28"/>
        </w:rPr>
        <w:t>72,5</w:t>
      </w:r>
      <w:r w:rsidRPr="00560EE3">
        <w:rPr>
          <w:spacing w:val="-4"/>
          <w:sz w:val="28"/>
          <w:szCs w:val="28"/>
        </w:rPr>
        <w:t xml:space="preserve"> млн. рублей</w:t>
      </w:r>
      <w:r w:rsidRPr="00560EE3">
        <w:rPr>
          <w:sz w:val="28"/>
          <w:szCs w:val="28"/>
        </w:rPr>
        <w:t xml:space="preserve"> </w:t>
      </w:r>
      <w:r w:rsidR="00E57958" w:rsidRPr="00560EE3">
        <w:rPr>
          <w:sz w:val="28"/>
          <w:szCs w:val="28"/>
        </w:rPr>
        <w:t xml:space="preserve">или </w:t>
      </w:r>
      <w:r w:rsidRPr="00560EE3">
        <w:rPr>
          <w:sz w:val="28"/>
          <w:szCs w:val="28"/>
        </w:rPr>
        <w:t xml:space="preserve">в </w:t>
      </w:r>
      <w:r w:rsidR="007D5FAD" w:rsidRPr="00560EE3">
        <w:rPr>
          <w:sz w:val="28"/>
          <w:szCs w:val="28"/>
        </w:rPr>
        <w:t>3</w:t>
      </w:r>
      <w:r w:rsidRPr="00560EE3">
        <w:rPr>
          <w:sz w:val="28"/>
          <w:szCs w:val="28"/>
        </w:rPr>
        <w:t xml:space="preserve"> раз</w:t>
      </w:r>
      <w:r w:rsidR="007D5FAD" w:rsidRPr="00560EE3">
        <w:rPr>
          <w:sz w:val="28"/>
          <w:szCs w:val="28"/>
        </w:rPr>
        <w:t>а</w:t>
      </w:r>
      <w:r w:rsidR="005111EB" w:rsidRPr="00560EE3">
        <w:rPr>
          <w:sz w:val="28"/>
          <w:szCs w:val="28"/>
        </w:rPr>
        <w:t>)</w:t>
      </w:r>
      <w:r w:rsidRPr="00560EE3">
        <w:rPr>
          <w:sz w:val="28"/>
          <w:szCs w:val="28"/>
        </w:rPr>
        <w:t xml:space="preserve"> </w:t>
      </w:r>
      <w:r w:rsidR="00F67A4A" w:rsidRPr="00560EE3">
        <w:rPr>
          <w:sz w:val="28"/>
          <w:szCs w:val="28"/>
        </w:rPr>
        <w:t xml:space="preserve">– </w:t>
      </w:r>
      <w:r w:rsidR="00E57958" w:rsidRPr="00560EE3">
        <w:rPr>
          <w:sz w:val="28"/>
          <w:szCs w:val="28"/>
        </w:rPr>
        <w:t>отсутстви</w:t>
      </w:r>
      <w:r w:rsidR="00F67A4A" w:rsidRPr="00560EE3">
        <w:rPr>
          <w:sz w:val="28"/>
          <w:szCs w:val="28"/>
        </w:rPr>
        <w:t xml:space="preserve">е </w:t>
      </w:r>
      <w:r w:rsidR="00E57958" w:rsidRPr="00560EE3">
        <w:rPr>
          <w:sz w:val="28"/>
          <w:szCs w:val="28"/>
        </w:rPr>
        <w:t>оборотных средств</w:t>
      </w:r>
      <w:r w:rsidR="00F67A4A" w:rsidRPr="00560EE3">
        <w:rPr>
          <w:sz w:val="28"/>
          <w:szCs w:val="28"/>
        </w:rPr>
        <w:t xml:space="preserve"> из-за </w:t>
      </w:r>
      <w:r w:rsidR="00E57958" w:rsidRPr="00560EE3">
        <w:rPr>
          <w:sz w:val="28"/>
          <w:szCs w:val="28"/>
        </w:rPr>
        <w:t>несвоевременной оплат</w:t>
      </w:r>
      <w:r w:rsidR="00F67A4A" w:rsidRPr="00560EE3">
        <w:rPr>
          <w:sz w:val="28"/>
          <w:szCs w:val="28"/>
        </w:rPr>
        <w:t>ы</w:t>
      </w:r>
      <w:r w:rsidR="007D5FAD" w:rsidRPr="00560EE3">
        <w:rPr>
          <w:sz w:val="28"/>
          <w:szCs w:val="28"/>
        </w:rPr>
        <w:t xml:space="preserve"> заказчиками поставки готовой продукции, работ (услуг)</w:t>
      </w:r>
      <w:r w:rsidR="00B477FD" w:rsidRPr="00560EE3">
        <w:rPr>
          <w:sz w:val="28"/>
          <w:szCs w:val="28"/>
        </w:rPr>
        <w:t>;</w:t>
      </w:r>
    </w:p>
    <w:p w:rsidR="00CE496C" w:rsidRPr="00560EE3" w:rsidRDefault="008B64C2" w:rsidP="00560EE3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560EE3">
        <w:rPr>
          <w:spacing w:val="-4"/>
          <w:sz w:val="28"/>
          <w:szCs w:val="28"/>
        </w:rPr>
        <w:t xml:space="preserve">МУП </w:t>
      </w:r>
      <w:r w:rsidR="00BE73EB" w:rsidRPr="00560EE3">
        <w:rPr>
          <w:spacing w:val="-4"/>
          <w:sz w:val="28"/>
          <w:szCs w:val="28"/>
        </w:rPr>
        <w:t>«Липецкпассажиртранс</w:t>
      </w:r>
      <w:r w:rsidR="00806EFD" w:rsidRPr="00560EE3">
        <w:rPr>
          <w:spacing w:val="-4"/>
          <w:sz w:val="28"/>
          <w:szCs w:val="28"/>
        </w:rPr>
        <w:t>»</w:t>
      </w:r>
      <w:r w:rsidR="002225BA" w:rsidRPr="00560EE3">
        <w:rPr>
          <w:sz w:val="28"/>
          <w:szCs w:val="28"/>
        </w:rPr>
        <w:t xml:space="preserve"> </w:t>
      </w:r>
      <w:r w:rsidR="002225BA" w:rsidRPr="00560EE3">
        <w:rPr>
          <w:spacing w:val="-4"/>
          <w:sz w:val="28"/>
          <w:szCs w:val="28"/>
        </w:rPr>
        <w:t xml:space="preserve">с 68,4 до </w:t>
      </w:r>
      <w:r w:rsidR="00857A71" w:rsidRPr="00560EE3">
        <w:rPr>
          <w:spacing w:val="-4"/>
          <w:sz w:val="28"/>
          <w:szCs w:val="28"/>
        </w:rPr>
        <w:t>133,6</w:t>
      </w:r>
      <w:r w:rsidR="002225BA" w:rsidRPr="00560EE3">
        <w:rPr>
          <w:spacing w:val="-4"/>
          <w:sz w:val="28"/>
          <w:szCs w:val="28"/>
        </w:rPr>
        <w:t xml:space="preserve"> млн. рублей</w:t>
      </w:r>
      <w:r w:rsidR="00A05BB1" w:rsidRPr="00560EE3">
        <w:rPr>
          <w:spacing w:val="-4"/>
          <w:sz w:val="28"/>
          <w:szCs w:val="28"/>
        </w:rPr>
        <w:t xml:space="preserve"> (</w:t>
      </w:r>
      <w:r w:rsidR="0043427A" w:rsidRPr="00560EE3">
        <w:rPr>
          <w:spacing w:val="-4"/>
          <w:sz w:val="28"/>
          <w:szCs w:val="28"/>
        </w:rPr>
        <w:t>↑ на</w:t>
      </w:r>
      <w:r w:rsidR="00A05BB1" w:rsidRPr="00560EE3">
        <w:rPr>
          <w:spacing w:val="-4"/>
          <w:sz w:val="28"/>
          <w:szCs w:val="28"/>
        </w:rPr>
        <w:t xml:space="preserve"> </w:t>
      </w:r>
      <w:r w:rsidR="00857A71" w:rsidRPr="00560EE3">
        <w:rPr>
          <w:spacing w:val="-4"/>
          <w:sz w:val="28"/>
          <w:szCs w:val="28"/>
        </w:rPr>
        <w:t>65,2</w:t>
      </w:r>
      <w:r w:rsidR="00BE73EB" w:rsidRPr="00560EE3">
        <w:rPr>
          <w:spacing w:val="-4"/>
          <w:sz w:val="28"/>
          <w:szCs w:val="28"/>
        </w:rPr>
        <w:t xml:space="preserve"> </w:t>
      </w:r>
      <w:r w:rsidR="00A05BB1" w:rsidRPr="00560EE3">
        <w:rPr>
          <w:spacing w:val="-4"/>
          <w:sz w:val="28"/>
          <w:szCs w:val="28"/>
        </w:rPr>
        <w:t>млн.</w:t>
      </w:r>
      <w:r w:rsidR="00782E3A" w:rsidRPr="00560EE3">
        <w:rPr>
          <w:spacing w:val="-4"/>
          <w:sz w:val="28"/>
          <w:szCs w:val="28"/>
        </w:rPr>
        <w:t xml:space="preserve"> рублей</w:t>
      </w:r>
      <w:r w:rsidR="00DA5940" w:rsidRPr="00560EE3">
        <w:rPr>
          <w:spacing w:val="-4"/>
          <w:sz w:val="28"/>
          <w:szCs w:val="28"/>
        </w:rPr>
        <w:t xml:space="preserve"> </w:t>
      </w:r>
      <w:r w:rsidR="00CE496C" w:rsidRPr="00560EE3">
        <w:rPr>
          <w:spacing w:val="-4"/>
          <w:sz w:val="28"/>
          <w:szCs w:val="28"/>
        </w:rPr>
        <w:t xml:space="preserve">или </w:t>
      </w:r>
      <w:r w:rsidR="00857A71" w:rsidRPr="00560EE3">
        <w:rPr>
          <w:spacing w:val="-4"/>
          <w:sz w:val="28"/>
          <w:szCs w:val="28"/>
        </w:rPr>
        <w:t>в 2 раза</w:t>
      </w:r>
      <w:r w:rsidR="005111EB" w:rsidRPr="00560EE3">
        <w:rPr>
          <w:spacing w:val="-4"/>
          <w:sz w:val="28"/>
          <w:szCs w:val="28"/>
        </w:rPr>
        <w:t>)</w:t>
      </w:r>
      <w:r w:rsidR="007A1512" w:rsidRPr="00560EE3">
        <w:rPr>
          <w:spacing w:val="-4"/>
          <w:sz w:val="28"/>
          <w:szCs w:val="28"/>
        </w:rPr>
        <w:t xml:space="preserve"> </w:t>
      </w:r>
      <w:r w:rsidR="00CE496C" w:rsidRPr="00560EE3">
        <w:rPr>
          <w:spacing w:val="-4"/>
          <w:sz w:val="28"/>
          <w:szCs w:val="28"/>
        </w:rPr>
        <w:t xml:space="preserve">по </w:t>
      </w:r>
      <w:r w:rsidR="00B64B59" w:rsidRPr="00560EE3">
        <w:rPr>
          <w:spacing w:val="-4"/>
          <w:sz w:val="28"/>
          <w:szCs w:val="28"/>
        </w:rPr>
        <w:t>причин</w:t>
      </w:r>
      <w:r w:rsidR="00857A71" w:rsidRPr="00560EE3">
        <w:rPr>
          <w:spacing w:val="-4"/>
          <w:sz w:val="28"/>
          <w:szCs w:val="28"/>
        </w:rPr>
        <w:t xml:space="preserve">е отмены решения суда по иску МУП «Липецкпассажиртранс» к Министерству финансов РФ о взыскании </w:t>
      </w:r>
      <w:r w:rsidR="00B477FD" w:rsidRPr="00560EE3">
        <w:rPr>
          <w:spacing w:val="-4"/>
          <w:sz w:val="28"/>
          <w:szCs w:val="28"/>
        </w:rPr>
        <w:t>убытков;</w:t>
      </w:r>
    </w:p>
    <w:p w:rsidR="00D83B63" w:rsidRPr="00560EE3" w:rsidRDefault="002044EC" w:rsidP="00560EE3">
      <w:pPr>
        <w:pStyle w:val="af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560EE3">
        <w:rPr>
          <w:spacing w:val="-4"/>
          <w:sz w:val="28"/>
          <w:szCs w:val="28"/>
        </w:rPr>
        <w:t xml:space="preserve">МУП «Липецкая городская транспортная компания» с 1,1 до </w:t>
      </w:r>
      <w:r w:rsidR="00857A71" w:rsidRPr="00560EE3">
        <w:rPr>
          <w:spacing w:val="-4"/>
          <w:sz w:val="28"/>
          <w:szCs w:val="28"/>
        </w:rPr>
        <w:t>16,2</w:t>
      </w:r>
      <w:r w:rsidRPr="00560EE3">
        <w:rPr>
          <w:spacing w:val="-4"/>
          <w:sz w:val="28"/>
          <w:szCs w:val="28"/>
        </w:rPr>
        <w:t xml:space="preserve"> млн. рублей (↑ на </w:t>
      </w:r>
      <w:r w:rsidR="00857A71" w:rsidRPr="00560EE3">
        <w:rPr>
          <w:spacing w:val="-4"/>
          <w:sz w:val="28"/>
          <w:szCs w:val="28"/>
        </w:rPr>
        <w:t>15,1</w:t>
      </w:r>
      <w:r w:rsidRPr="00560EE3">
        <w:rPr>
          <w:spacing w:val="-4"/>
          <w:sz w:val="28"/>
          <w:szCs w:val="28"/>
        </w:rPr>
        <w:t xml:space="preserve"> млн. рублей или в 1</w:t>
      </w:r>
      <w:r w:rsidR="00857A71" w:rsidRPr="00560EE3">
        <w:rPr>
          <w:spacing w:val="-4"/>
          <w:sz w:val="28"/>
          <w:szCs w:val="28"/>
        </w:rPr>
        <w:t>5</w:t>
      </w:r>
      <w:r w:rsidR="00875308" w:rsidRPr="00560EE3">
        <w:rPr>
          <w:spacing w:val="-4"/>
          <w:sz w:val="28"/>
          <w:szCs w:val="28"/>
        </w:rPr>
        <w:t xml:space="preserve"> раз)</w:t>
      </w:r>
      <w:r w:rsidR="00455BF1" w:rsidRPr="00560EE3">
        <w:rPr>
          <w:spacing w:val="-4"/>
          <w:sz w:val="28"/>
          <w:szCs w:val="28"/>
        </w:rPr>
        <w:t>. З</w:t>
      </w:r>
      <w:r w:rsidR="00875308" w:rsidRPr="00560EE3">
        <w:rPr>
          <w:spacing w:val="-4"/>
          <w:sz w:val="28"/>
          <w:szCs w:val="28"/>
        </w:rPr>
        <w:t>адолженность перед прочими кредиторами, в том числе МУП «Липецкпассажиртранс», ОРБ</w:t>
      </w:r>
      <w:r w:rsidR="00455BF1" w:rsidRPr="00560EE3">
        <w:rPr>
          <w:spacing w:val="-4"/>
          <w:sz w:val="28"/>
          <w:szCs w:val="28"/>
        </w:rPr>
        <w:t>АНК</w:t>
      </w:r>
      <w:r w:rsidR="00875308" w:rsidRPr="00560EE3">
        <w:rPr>
          <w:spacing w:val="-4"/>
          <w:sz w:val="28"/>
          <w:szCs w:val="28"/>
        </w:rPr>
        <w:t>, ОКУ «ААТ ЛО», в сумме 14 млн. рублей</w:t>
      </w:r>
      <w:r w:rsidR="00455BF1" w:rsidRPr="00560EE3">
        <w:rPr>
          <w:spacing w:val="-4"/>
          <w:sz w:val="28"/>
          <w:szCs w:val="28"/>
        </w:rPr>
        <w:t>,</w:t>
      </w:r>
      <w:r w:rsidR="00875308" w:rsidRPr="00560EE3">
        <w:rPr>
          <w:spacing w:val="-4"/>
          <w:sz w:val="28"/>
          <w:szCs w:val="28"/>
        </w:rPr>
        <w:t xml:space="preserve"> погашен</w:t>
      </w:r>
      <w:r w:rsidR="00455BF1" w:rsidRPr="00560EE3">
        <w:rPr>
          <w:spacing w:val="-4"/>
          <w:sz w:val="28"/>
          <w:szCs w:val="28"/>
        </w:rPr>
        <w:t>а</w:t>
      </w:r>
      <w:r w:rsidR="00B477FD" w:rsidRPr="00560EE3">
        <w:rPr>
          <w:spacing w:val="-4"/>
          <w:sz w:val="28"/>
          <w:szCs w:val="28"/>
        </w:rPr>
        <w:t xml:space="preserve"> в 1 квартале 2018 года;</w:t>
      </w:r>
    </w:p>
    <w:p w:rsidR="0045449F" w:rsidRPr="00560EE3" w:rsidRDefault="00FC7F03" w:rsidP="00560EE3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0EE3">
        <w:rPr>
          <w:spacing w:val="-4"/>
          <w:sz w:val="28"/>
          <w:szCs w:val="28"/>
        </w:rPr>
        <w:t>МУП «Второе ГЖУ» с 25</w:t>
      </w:r>
      <w:r w:rsidR="0086700B" w:rsidRPr="00560EE3">
        <w:rPr>
          <w:spacing w:val="-4"/>
          <w:sz w:val="28"/>
          <w:szCs w:val="28"/>
        </w:rPr>
        <w:t xml:space="preserve"> </w:t>
      </w:r>
      <w:r w:rsidRPr="00560EE3">
        <w:rPr>
          <w:spacing w:val="-4"/>
          <w:sz w:val="28"/>
          <w:szCs w:val="28"/>
        </w:rPr>
        <w:t xml:space="preserve">до </w:t>
      </w:r>
      <w:r w:rsidR="00037EF9" w:rsidRPr="00560EE3">
        <w:rPr>
          <w:spacing w:val="-4"/>
          <w:sz w:val="28"/>
          <w:szCs w:val="28"/>
        </w:rPr>
        <w:t>38,5</w:t>
      </w:r>
      <w:r w:rsidRPr="00560EE3">
        <w:rPr>
          <w:spacing w:val="-4"/>
          <w:sz w:val="28"/>
          <w:szCs w:val="28"/>
        </w:rPr>
        <w:t xml:space="preserve"> млн. рублей (</w:t>
      </w:r>
      <w:r w:rsidR="00900A9E" w:rsidRPr="00560EE3">
        <w:rPr>
          <w:spacing w:val="-4"/>
          <w:sz w:val="28"/>
          <w:szCs w:val="28"/>
        </w:rPr>
        <w:t xml:space="preserve">↑ </w:t>
      </w:r>
      <w:r w:rsidRPr="00560EE3">
        <w:rPr>
          <w:spacing w:val="-4"/>
          <w:sz w:val="28"/>
          <w:szCs w:val="28"/>
        </w:rPr>
        <w:t xml:space="preserve">на </w:t>
      </w:r>
      <w:r w:rsidR="00037EF9" w:rsidRPr="00560EE3">
        <w:rPr>
          <w:spacing w:val="-4"/>
          <w:sz w:val="28"/>
          <w:szCs w:val="28"/>
        </w:rPr>
        <w:t>13,5</w:t>
      </w:r>
      <w:r w:rsidRPr="00560EE3">
        <w:rPr>
          <w:spacing w:val="-4"/>
          <w:sz w:val="28"/>
          <w:szCs w:val="28"/>
        </w:rPr>
        <w:t xml:space="preserve"> млн. рублей или </w:t>
      </w:r>
      <w:r w:rsidR="00037EF9" w:rsidRPr="00560EE3">
        <w:rPr>
          <w:spacing w:val="-4"/>
          <w:sz w:val="28"/>
          <w:szCs w:val="28"/>
        </w:rPr>
        <w:t>54</w:t>
      </w:r>
      <w:r w:rsidR="006202F7" w:rsidRPr="00560EE3">
        <w:rPr>
          <w:spacing w:val="-4"/>
          <w:sz w:val="28"/>
          <w:szCs w:val="28"/>
        </w:rPr>
        <w:t>%) по причине не</w:t>
      </w:r>
      <w:r w:rsidR="00F86D4A" w:rsidRPr="00560EE3">
        <w:rPr>
          <w:spacing w:val="-4"/>
          <w:sz w:val="28"/>
          <w:szCs w:val="28"/>
        </w:rPr>
        <w:t>хватки</w:t>
      </w:r>
      <w:r w:rsidR="006202F7" w:rsidRPr="00560EE3">
        <w:rPr>
          <w:spacing w:val="-4"/>
          <w:sz w:val="28"/>
          <w:szCs w:val="28"/>
        </w:rPr>
        <w:t xml:space="preserve"> </w:t>
      </w:r>
      <w:r w:rsidRPr="00560EE3">
        <w:rPr>
          <w:spacing w:val="-4"/>
          <w:sz w:val="28"/>
          <w:szCs w:val="28"/>
        </w:rPr>
        <w:t xml:space="preserve">оборотных средств. </w:t>
      </w:r>
      <w:r w:rsidR="00F86D4A" w:rsidRPr="00560EE3">
        <w:rPr>
          <w:sz w:val="28"/>
          <w:szCs w:val="28"/>
        </w:rPr>
        <w:t>Арбитражный суд Липецкой области Решением по делу № А36-10161/2016 от 09.01.2018 признал МУП несостоятельным (банкротом), ввел в отношении него процедуру конкурсного производства</w:t>
      </w:r>
      <w:r w:rsidR="001F48A2" w:rsidRPr="00560EE3">
        <w:rPr>
          <w:sz w:val="28"/>
          <w:szCs w:val="28"/>
        </w:rPr>
        <w:t xml:space="preserve">. </w:t>
      </w:r>
      <w:r w:rsidR="006202F7" w:rsidRPr="00560EE3">
        <w:rPr>
          <w:sz w:val="28"/>
          <w:szCs w:val="28"/>
        </w:rPr>
        <w:t xml:space="preserve">В настоящее время </w:t>
      </w:r>
      <w:r w:rsidR="00E85945" w:rsidRPr="00560EE3">
        <w:rPr>
          <w:sz w:val="28"/>
          <w:szCs w:val="28"/>
        </w:rPr>
        <w:t>основная часть</w:t>
      </w:r>
      <w:r w:rsidR="006202F7" w:rsidRPr="00560EE3">
        <w:rPr>
          <w:sz w:val="28"/>
          <w:szCs w:val="28"/>
        </w:rPr>
        <w:t xml:space="preserve"> кредитор</w:t>
      </w:r>
      <w:r w:rsidR="00E85945" w:rsidRPr="00560EE3">
        <w:rPr>
          <w:sz w:val="28"/>
          <w:szCs w:val="28"/>
        </w:rPr>
        <w:t>ов</w:t>
      </w:r>
      <w:r w:rsidR="006202F7" w:rsidRPr="00560EE3">
        <w:rPr>
          <w:sz w:val="28"/>
          <w:szCs w:val="28"/>
        </w:rPr>
        <w:t xml:space="preserve"> </w:t>
      </w:r>
      <w:r w:rsidR="00F86D4A" w:rsidRPr="00560EE3">
        <w:rPr>
          <w:sz w:val="28"/>
          <w:szCs w:val="28"/>
        </w:rPr>
        <w:t>включен</w:t>
      </w:r>
      <w:r w:rsidR="00E85945" w:rsidRPr="00560EE3">
        <w:rPr>
          <w:sz w:val="28"/>
          <w:szCs w:val="28"/>
        </w:rPr>
        <w:t>а</w:t>
      </w:r>
      <w:r w:rsidR="006202F7" w:rsidRPr="00560EE3">
        <w:rPr>
          <w:sz w:val="28"/>
          <w:szCs w:val="28"/>
        </w:rPr>
        <w:t xml:space="preserve"> в реестр кредиторов</w:t>
      </w:r>
      <w:r w:rsidR="00F86D4A" w:rsidRPr="00560EE3">
        <w:rPr>
          <w:sz w:val="28"/>
          <w:szCs w:val="28"/>
        </w:rPr>
        <w:t xml:space="preserve"> на </w:t>
      </w:r>
      <w:proofErr w:type="gramStart"/>
      <w:r w:rsidR="00F86D4A" w:rsidRPr="00560EE3">
        <w:rPr>
          <w:sz w:val="28"/>
          <w:szCs w:val="28"/>
        </w:rPr>
        <w:t>основании</w:t>
      </w:r>
      <w:proofErr w:type="gramEnd"/>
      <w:r w:rsidR="00F86D4A" w:rsidRPr="00560EE3">
        <w:rPr>
          <w:sz w:val="28"/>
          <w:szCs w:val="28"/>
        </w:rPr>
        <w:t xml:space="preserve"> Определений Арбитражного суда Липецкой области</w:t>
      </w:r>
      <w:r w:rsidR="00B477FD" w:rsidRPr="00560EE3">
        <w:rPr>
          <w:sz w:val="28"/>
          <w:szCs w:val="28"/>
        </w:rPr>
        <w:t>;</w:t>
      </w:r>
    </w:p>
    <w:p w:rsidR="00037EF9" w:rsidRPr="00560EE3" w:rsidRDefault="0045449F" w:rsidP="00560EE3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0EE3">
        <w:rPr>
          <w:sz w:val="28"/>
          <w:szCs w:val="28"/>
        </w:rPr>
        <w:t>МУП «ЛиСА» с 84,5 до 91,8 млн. рублей (↑ на 7,3 млн. рублей или 9%)</w:t>
      </w:r>
      <w:r w:rsidR="00324F39" w:rsidRPr="00560EE3">
        <w:rPr>
          <w:sz w:val="28"/>
          <w:szCs w:val="28"/>
        </w:rPr>
        <w:t xml:space="preserve"> за счет роста задолженности на 3,4 млн. рублей перед АО «Автоколонна 1498» за вывоз осадка в соответствии с планом и договором и на 3,2 млн. рублей перед ООО «Очистные системы» в связи с новой поставкой </w:t>
      </w:r>
      <w:proofErr w:type="spellStart"/>
      <w:r w:rsidR="00324F39" w:rsidRPr="00560EE3">
        <w:rPr>
          <w:sz w:val="28"/>
          <w:szCs w:val="28"/>
        </w:rPr>
        <w:t>флокулянта</w:t>
      </w:r>
      <w:proofErr w:type="spellEnd"/>
      <w:r w:rsidR="00324F39" w:rsidRPr="00560EE3">
        <w:rPr>
          <w:sz w:val="28"/>
          <w:szCs w:val="28"/>
        </w:rPr>
        <w:t xml:space="preserve">. А также в связи с заключением договора с ООО «Полигон» на оказание услуг по утилизации сточных вод, по состоянию на 01.01.2018 задолженность </w:t>
      </w:r>
      <w:r w:rsidR="000E34B2" w:rsidRPr="00560EE3">
        <w:rPr>
          <w:sz w:val="28"/>
          <w:szCs w:val="28"/>
        </w:rPr>
        <w:t xml:space="preserve">в соответствии с контрактом </w:t>
      </w:r>
      <w:r w:rsidR="00324F39" w:rsidRPr="00560EE3">
        <w:rPr>
          <w:sz w:val="28"/>
          <w:szCs w:val="28"/>
        </w:rPr>
        <w:t>составила 6,1 млн. рублей</w:t>
      </w:r>
      <w:r w:rsidR="000E34B2" w:rsidRPr="00560EE3">
        <w:rPr>
          <w:sz w:val="28"/>
          <w:szCs w:val="28"/>
        </w:rPr>
        <w:t xml:space="preserve">. </w:t>
      </w:r>
    </w:p>
    <w:p w:rsidR="000D5A3C" w:rsidRPr="005544A0" w:rsidRDefault="002C4165" w:rsidP="00C916AB">
      <w:pPr>
        <w:ind w:firstLine="709"/>
        <w:jc w:val="both"/>
        <w:rPr>
          <w:spacing w:val="-4"/>
          <w:sz w:val="28"/>
          <w:szCs w:val="28"/>
        </w:rPr>
      </w:pPr>
      <w:r w:rsidRPr="005544A0">
        <w:rPr>
          <w:spacing w:val="-4"/>
          <w:sz w:val="28"/>
          <w:szCs w:val="28"/>
        </w:rPr>
        <w:t>Кроме того,</w:t>
      </w:r>
      <w:r w:rsidR="00014360" w:rsidRPr="005544A0">
        <w:rPr>
          <w:spacing w:val="-4"/>
          <w:sz w:val="28"/>
          <w:szCs w:val="28"/>
        </w:rPr>
        <w:t xml:space="preserve"> с</w:t>
      </w:r>
      <w:r w:rsidR="00C3622A" w:rsidRPr="005544A0">
        <w:rPr>
          <w:spacing w:val="-4"/>
          <w:sz w:val="28"/>
          <w:szCs w:val="28"/>
        </w:rPr>
        <w:t xml:space="preserve"> начала года</w:t>
      </w:r>
      <w:r w:rsidRPr="005544A0">
        <w:rPr>
          <w:spacing w:val="-4"/>
          <w:sz w:val="28"/>
          <w:szCs w:val="28"/>
        </w:rPr>
        <w:t xml:space="preserve"> наблюдается</w:t>
      </w:r>
      <w:r w:rsidR="00C3622A" w:rsidRPr="005544A0">
        <w:rPr>
          <w:spacing w:val="-4"/>
          <w:sz w:val="28"/>
          <w:szCs w:val="28"/>
        </w:rPr>
        <w:t xml:space="preserve"> </w:t>
      </w:r>
      <w:r w:rsidR="00014360" w:rsidRPr="005544A0">
        <w:rPr>
          <w:spacing w:val="-4"/>
          <w:sz w:val="28"/>
          <w:szCs w:val="28"/>
        </w:rPr>
        <w:t xml:space="preserve">тенденция роста </w:t>
      </w:r>
      <w:r w:rsidR="00F54CCC" w:rsidRPr="005544A0">
        <w:rPr>
          <w:spacing w:val="-4"/>
          <w:sz w:val="28"/>
          <w:szCs w:val="28"/>
        </w:rPr>
        <w:t xml:space="preserve">кредиторской задолженности </w:t>
      </w:r>
      <w:proofErr w:type="gramStart"/>
      <w:r w:rsidRPr="005544A0">
        <w:rPr>
          <w:spacing w:val="-4"/>
          <w:sz w:val="28"/>
          <w:szCs w:val="28"/>
        </w:rPr>
        <w:t>в</w:t>
      </w:r>
      <w:proofErr w:type="gramEnd"/>
      <w:r w:rsidR="000D5A3C" w:rsidRPr="005544A0">
        <w:rPr>
          <w:spacing w:val="-4"/>
          <w:sz w:val="28"/>
          <w:szCs w:val="28"/>
        </w:rPr>
        <w:t>:</w:t>
      </w:r>
    </w:p>
    <w:p w:rsidR="0022040D" w:rsidRPr="00560EE3" w:rsidRDefault="0022040D" w:rsidP="00560EE3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560EE3">
        <w:rPr>
          <w:spacing w:val="-4"/>
          <w:sz w:val="28"/>
          <w:szCs w:val="28"/>
        </w:rPr>
        <w:t xml:space="preserve">МУП БПХ с </w:t>
      </w:r>
      <w:r w:rsidR="00075A19" w:rsidRPr="00560EE3">
        <w:rPr>
          <w:spacing w:val="-4"/>
          <w:sz w:val="28"/>
          <w:szCs w:val="28"/>
        </w:rPr>
        <w:t>11,7</w:t>
      </w:r>
      <w:r w:rsidRPr="00560EE3">
        <w:rPr>
          <w:spacing w:val="-4"/>
          <w:sz w:val="28"/>
          <w:szCs w:val="28"/>
        </w:rPr>
        <w:t xml:space="preserve"> до 15,9 млн. рублей (</w:t>
      </w:r>
      <w:r w:rsidR="00C80BFE" w:rsidRPr="00560EE3">
        <w:rPr>
          <w:spacing w:val="-4"/>
          <w:sz w:val="28"/>
          <w:szCs w:val="28"/>
        </w:rPr>
        <w:t xml:space="preserve">↑ </w:t>
      </w:r>
      <w:r w:rsidRPr="00560EE3">
        <w:rPr>
          <w:spacing w:val="-4"/>
          <w:sz w:val="28"/>
          <w:szCs w:val="28"/>
        </w:rPr>
        <w:t xml:space="preserve">на </w:t>
      </w:r>
      <w:r w:rsidR="00075A19" w:rsidRPr="00560EE3">
        <w:rPr>
          <w:spacing w:val="-4"/>
          <w:sz w:val="28"/>
          <w:szCs w:val="28"/>
        </w:rPr>
        <w:t>4,2</w:t>
      </w:r>
      <w:r w:rsidRPr="00560EE3">
        <w:rPr>
          <w:spacing w:val="-4"/>
          <w:sz w:val="28"/>
          <w:szCs w:val="28"/>
        </w:rPr>
        <w:t xml:space="preserve"> млн. рублей или </w:t>
      </w:r>
      <w:r w:rsidR="00075A19" w:rsidRPr="00560EE3">
        <w:rPr>
          <w:spacing w:val="-4"/>
          <w:sz w:val="28"/>
          <w:szCs w:val="28"/>
        </w:rPr>
        <w:t>36</w:t>
      </w:r>
      <w:r w:rsidRPr="00560EE3">
        <w:rPr>
          <w:spacing w:val="-4"/>
          <w:sz w:val="28"/>
          <w:szCs w:val="28"/>
        </w:rPr>
        <w:t>%)</w:t>
      </w:r>
      <w:r w:rsidR="00550487" w:rsidRPr="00560EE3">
        <w:rPr>
          <w:spacing w:val="-4"/>
          <w:sz w:val="28"/>
          <w:szCs w:val="28"/>
        </w:rPr>
        <w:t xml:space="preserve"> по причин</w:t>
      </w:r>
      <w:r w:rsidR="00075A19" w:rsidRPr="00560EE3">
        <w:rPr>
          <w:spacing w:val="-4"/>
          <w:sz w:val="28"/>
          <w:szCs w:val="28"/>
        </w:rPr>
        <w:t xml:space="preserve">е </w:t>
      </w:r>
      <w:r w:rsidR="00550487" w:rsidRPr="00560EE3">
        <w:rPr>
          <w:spacing w:val="-4"/>
          <w:sz w:val="28"/>
          <w:szCs w:val="28"/>
        </w:rPr>
        <w:t>недостаточност</w:t>
      </w:r>
      <w:r w:rsidR="00D36DAF" w:rsidRPr="00560EE3">
        <w:rPr>
          <w:spacing w:val="-4"/>
          <w:sz w:val="28"/>
          <w:szCs w:val="28"/>
        </w:rPr>
        <w:t>и собственных оборотных средств, связанной с судебным разбират</w:t>
      </w:r>
      <w:r w:rsidR="00F217DD" w:rsidRPr="00560EE3">
        <w:rPr>
          <w:spacing w:val="-4"/>
          <w:sz w:val="28"/>
          <w:szCs w:val="28"/>
        </w:rPr>
        <w:t>ельств</w:t>
      </w:r>
      <w:r w:rsidR="00075A19" w:rsidRPr="00560EE3">
        <w:rPr>
          <w:spacing w:val="-4"/>
          <w:sz w:val="28"/>
          <w:szCs w:val="28"/>
        </w:rPr>
        <w:t>о</w:t>
      </w:r>
      <w:r w:rsidR="00F217DD" w:rsidRPr="00560EE3">
        <w:rPr>
          <w:spacing w:val="-4"/>
          <w:sz w:val="28"/>
          <w:szCs w:val="28"/>
        </w:rPr>
        <w:t>м</w:t>
      </w:r>
      <w:r w:rsidR="00075A19" w:rsidRPr="00560EE3">
        <w:rPr>
          <w:spacing w:val="-4"/>
          <w:sz w:val="28"/>
          <w:szCs w:val="28"/>
        </w:rPr>
        <w:t xml:space="preserve"> </w:t>
      </w:r>
      <w:r w:rsidR="00F217DD" w:rsidRPr="00560EE3">
        <w:rPr>
          <w:spacing w:val="-4"/>
          <w:sz w:val="28"/>
          <w:szCs w:val="28"/>
        </w:rPr>
        <w:t>в отношен</w:t>
      </w:r>
      <w:proofErr w:type="gramStart"/>
      <w:r w:rsidR="00F217DD" w:rsidRPr="00560EE3">
        <w:rPr>
          <w:spacing w:val="-4"/>
          <w:sz w:val="28"/>
          <w:szCs w:val="28"/>
        </w:rPr>
        <w:t>ии АО</w:t>
      </w:r>
      <w:proofErr w:type="gramEnd"/>
      <w:r w:rsidR="00F217DD" w:rsidRPr="00560EE3">
        <w:rPr>
          <w:spacing w:val="-4"/>
          <w:sz w:val="28"/>
          <w:szCs w:val="28"/>
        </w:rPr>
        <w:t xml:space="preserve"> «ЛГЭК»</w:t>
      </w:r>
      <w:r w:rsidR="00075A19" w:rsidRPr="00560EE3">
        <w:rPr>
          <w:spacing w:val="-4"/>
          <w:sz w:val="28"/>
          <w:szCs w:val="28"/>
        </w:rPr>
        <w:t xml:space="preserve"> за тепловую энергию</w:t>
      </w:r>
      <w:r w:rsidR="00864C48" w:rsidRPr="00560EE3">
        <w:rPr>
          <w:spacing w:val="-4"/>
          <w:sz w:val="28"/>
          <w:szCs w:val="28"/>
        </w:rPr>
        <w:t>, разрешенным в пользу АО «ЛГЭК». Обязательство перед кредитором будет исполняться в соответствии с соглашением о рассрочке платежа с 01.08.2016 по 31.08.2023</w:t>
      </w:r>
      <w:r w:rsidR="00F217DD" w:rsidRPr="00560EE3">
        <w:rPr>
          <w:spacing w:val="-4"/>
          <w:sz w:val="28"/>
          <w:szCs w:val="28"/>
        </w:rPr>
        <w:t>;</w:t>
      </w:r>
    </w:p>
    <w:p w:rsidR="00C61777" w:rsidRPr="00560EE3" w:rsidRDefault="00277575" w:rsidP="00560EE3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560EE3">
        <w:rPr>
          <w:spacing w:val="-4"/>
          <w:sz w:val="28"/>
          <w:szCs w:val="28"/>
        </w:rPr>
        <w:t>МУП «АДС</w:t>
      </w:r>
      <w:r w:rsidR="00C508CB" w:rsidRPr="00560EE3">
        <w:rPr>
          <w:spacing w:val="-4"/>
          <w:sz w:val="28"/>
          <w:szCs w:val="28"/>
        </w:rPr>
        <w:t xml:space="preserve"> городского хозяйства</w:t>
      </w:r>
      <w:r w:rsidRPr="00560EE3">
        <w:rPr>
          <w:spacing w:val="-4"/>
          <w:sz w:val="28"/>
          <w:szCs w:val="28"/>
        </w:rPr>
        <w:t xml:space="preserve">» </w:t>
      </w:r>
      <w:r w:rsidR="00CE496C" w:rsidRPr="00560EE3">
        <w:rPr>
          <w:spacing w:val="-4"/>
          <w:sz w:val="28"/>
          <w:szCs w:val="28"/>
        </w:rPr>
        <w:t xml:space="preserve">с 61,7 до </w:t>
      </w:r>
      <w:r w:rsidR="00AE1918" w:rsidRPr="00560EE3">
        <w:rPr>
          <w:spacing w:val="-4"/>
          <w:sz w:val="28"/>
          <w:szCs w:val="28"/>
        </w:rPr>
        <w:t>63</w:t>
      </w:r>
      <w:r w:rsidR="00874F79" w:rsidRPr="00560EE3">
        <w:rPr>
          <w:spacing w:val="-4"/>
          <w:sz w:val="28"/>
          <w:szCs w:val="28"/>
        </w:rPr>
        <w:t>,2</w:t>
      </w:r>
      <w:r w:rsidR="00CE496C" w:rsidRPr="00560EE3">
        <w:rPr>
          <w:spacing w:val="-4"/>
          <w:sz w:val="28"/>
          <w:szCs w:val="28"/>
        </w:rPr>
        <w:t xml:space="preserve"> млн. рублей (</w:t>
      </w:r>
      <w:r w:rsidR="0045449F" w:rsidRPr="00560EE3">
        <w:rPr>
          <w:spacing w:val="-4"/>
          <w:sz w:val="28"/>
          <w:szCs w:val="28"/>
        </w:rPr>
        <w:t xml:space="preserve">↑ </w:t>
      </w:r>
      <w:r w:rsidRPr="00560EE3">
        <w:rPr>
          <w:spacing w:val="-4"/>
          <w:sz w:val="28"/>
          <w:szCs w:val="28"/>
        </w:rPr>
        <w:t xml:space="preserve">на </w:t>
      </w:r>
      <w:r w:rsidR="00874F79" w:rsidRPr="00560EE3">
        <w:rPr>
          <w:spacing w:val="-4"/>
          <w:sz w:val="28"/>
          <w:szCs w:val="28"/>
        </w:rPr>
        <w:t>1,5</w:t>
      </w:r>
      <w:r w:rsidRPr="00560EE3">
        <w:rPr>
          <w:spacing w:val="-4"/>
          <w:sz w:val="28"/>
          <w:szCs w:val="28"/>
        </w:rPr>
        <w:t xml:space="preserve"> млн. рублей</w:t>
      </w:r>
      <w:r w:rsidR="006A52C4" w:rsidRPr="00560EE3">
        <w:rPr>
          <w:spacing w:val="-4"/>
          <w:sz w:val="28"/>
          <w:szCs w:val="28"/>
        </w:rPr>
        <w:t xml:space="preserve"> </w:t>
      </w:r>
      <w:r w:rsidR="00CE496C" w:rsidRPr="00560EE3">
        <w:rPr>
          <w:spacing w:val="-4"/>
          <w:sz w:val="28"/>
          <w:szCs w:val="28"/>
        </w:rPr>
        <w:t xml:space="preserve">или </w:t>
      </w:r>
      <w:r w:rsidR="00AE1918" w:rsidRPr="00560EE3">
        <w:rPr>
          <w:spacing w:val="-4"/>
          <w:sz w:val="28"/>
          <w:szCs w:val="28"/>
        </w:rPr>
        <w:t>2</w:t>
      </w:r>
      <w:r w:rsidR="0081764F" w:rsidRPr="00560EE3">
        <w:rPr>
          <w:spacing w:val="-4"/>
          <w:sz w:val="28"/>
          <w:szCs w:val="28"/>
        </w:rPr>
        <w:t>%</w:t>
      </w:r>
      <w:r w:rsidRPr="00560EE3">
        <w:rPr>
          <w:spacing w:val="-4"/>
          <w:sz w:val="28"/>
          <w:szCs w:val="28"/>
        </w:rPr>
        <w:t>) по причине не</w:t>
      </w:r>
      <w:r w:rsidR="00CE496C" w:rsidRPr="00560EE3">
        <w:rPr>
          <w:spacing w:val="-4"/>
          <w:sz w:val="28"/>
          <w:szCs w:val="28"/>
        </w:rPr>
        <w:t xml:space="preserve">достатка </w:t>
      </w:r>
      <w:r w:rsidRPr="00560EE3">
        <w:rPr>
          <w:spacing w:val="-4"/>
          <w:sz w:val="28"/>
          <w:szCs w:val="28"/>
        </w:rPr>
        <w:t>собственных оборотных сре</w:t>
      </w:r>
      <w:proofErr w:type="gramStart"/>
      <w:r w:rsidRPr="00560EE3">
        <w:rPr>
          <w:spacing w:val="-4"/>
          <w:sz w:val="28"/>
          <w:szCs w:val="28"/>
        </w:rPr>
        <w:t xml:space="preserve">дств </w:t>
      </w:r>
      <w:r w:rsidR="00CE496C" w:rsidRPr="00560EE3">
        <w:rPr>
          <w:spacing w:val="-4"/>
          <w:sz w:val="28"/>
          <w:szCs w:val="28"/>
        </w:rPr>
        <w:t>вв</w:t>
      </w:r>
      <w:proofErr w:type="gramEnd"/>
      <w:r w:rsidR="00CE496C" w:rsidRPr="00560EE3">
        <w:rPr>
          <w:spacing w:val="-4"/>
          <w:sz w:val="28"/>
          <w:szCs w:val="28"/>
        </w:rPr>
        <w:t>иду</w:t>
      </w:r>
      <w:r w:rsidRPr="00560EE3">
        <w:rPr>
          <w:spacing w:val="-4"/>
          <w:sz w:val="28"/>
          <w:szCs w:val="28"/>
        </w:rPr>
        <w:t xml:space="preserve"> значительн</w:t>
      </w:r>
      <w:r w:rsidR="00CE496C" w:rsidRPr="00560EE3">
        <w:rPr>
          <w:spacing w:val="-4"/>
          <w:sz w:val="28"/>
          <w:szCs w:val="28"/>
        </w:rPr>
        <w:t>ого</w:t>
      </w:r>
      <w:r w:rsidRPr="00560EE3">
        <w:rPr>
          <w:spacing w:val="-4"/>
          <w:sz w:val="28"/>
          <w:szCs w:val="28"/>
        </w:rPr>
        <w:t xml:space="preserve"> объема дебиторской задолженности</w:t>
      </w:r>
      <w:r w:rsidR="00CE496C" w:rsidRPr="00560EE3">
        <w:rPr>
          <w:spacing w:val="-4"/>
          <w:sz w:val="28"/>
          <w:szCs w:val="28"/>
        </w:rPr>
        <w:t xml:space="preserve"> управляющих компаний</w:t>
      </w:r>
      <w:r w:rsidR="00F712D3" w:rsidRPr="00560EE3">
        <w:rPr>
          <w:spacing w:val="-4"/>
          <w:sz w:val="28"/>
          <w:szCs w:val="28"/>
        </w:rPr>
        <w:t>;</w:t>
      </w:r>
      <w:r w:rsidR="00874F79" w:rsidRPr="00560EE3">
        <w:rPr>
          <w:spacing w:val="-4"/>
          <w:sz w:val="28"/>
          <w:szCs w:val="28"/>
        </w:rPr>
        <w:t xml:space="preserve"> </w:t>
      </w:r>
    </w:p>
    <w:p w:rsidR="00FC0B7F" w:rsidRPr="00560EE3" w:rsidRDefault="00C61777" w:rsidP="00560EE3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0EE3">
        <w:rPr>
          <w:spacing w:val="-4"/>
          <w:sz w:val="28"/>
          <w:szCs w:val="28"/>
        </w:rPr>
        <w:t>МУП «Липецкводоканал» с 7 до 9,3 млн. рублей (</w:t>
      </w:r>
      <w:r w:rsidR="0045449F" w:rsidRPr="00560EE3">
        <w:rPr>
          <w:spacing w:val="-4"/>
          <w:sz w:val="28"/>
          <w:szCs w:val="28"/>
        </w:rPr>
        <w:t xml:space="preserve">↑ </w:t>
      </w:r>
      <w:r w:rsidRPr="00560EE3">
        <w:rPr>
          <w:spacing w:val="-4"/>
          <w:sz w:val="28"/>
          <w:szCs w:val="28"/>
        </w:rPr>
        <w:t xml:space="preserve">на 2,3 млн. рублей или 33 %) </w:t>
      </w:r>
      <w:r w:rsidR="00F712D3" w:rsidRPr="00560EE3">
        <w:rPr>
          <w:spacing w:val="-4"/>
          <w:sz w:val="28"/>
          <w:szCs w:val="28"/>
        </w:rPr>
        <w:t xml:space="preserve">в части налога на имущество </w:t>
      </w:r>
      <w:r w:rsidR="00C12E72" w:rsidRPr="00560EE3">
        <w:rPr>
          <w:spacing w:val="-4"/>
          <w:sz w:val="28"/>
          <w:szCs w:val="28"/>
        </w:rPr>
        <w:t>на вновь</w:t>
      </w:r>
      <w:r w:rsidR="00F712D3" w:rsidRPr="00560EE3">
        <w:rPr>
          <w:spacing w:val="-4"/>
          <w:sz w:val="28"/>
          <w:szCs w:val="28"/>
        </w:rPr>
        <w:t xml:space="preserve"> принят</w:t>
      </w:r>
      <w:r w:rsidR="00C12E72" w:rsidRPr="00560EE3">
        <w:rPr>
          <w:spacing w:val="-4"/>
          <w:sz w:val="28"/>
          <w:szCs w:val="28"/>
        </w:rPr>
        <w:t>ые</w:t>
      </w:r>
      <w:r w:rsidR="00F712D3" w:rsidRPr="00560EE3">
        <w:rPr>
          <w:spacing w:val="-4"/>
          <w:sz w:val="28"/>
          <w:szCs w:val="28"/>
        </w:rPr>
        <w:t xml:space="preserve"> на баланс новы</w:t>
      </w:r>
      <w:r w:rsidR="00C12E72" w:rsidRPr="00560EE3">
        <w:rPr>
          <w:spacing w:val="-4"/>
          <w:sz w:val="28"/>
          <w:szCs w:val="28"/>
        </w:rPr>
        <w:t>е</w:t>
      </w:r>
      <w:r w:rsidR="005544A0" w:rsidRPr="00560EE3">
        <w:rPr>
          <w:spacing w:val="-4"/>
          <w:sz w:val="28"/>
          <w:szCs w:val="28"/>
        </w:rPr>
        <w:t xml:space="preserve"> объект</w:t>
      </w:r>
      <w:r w:rsidR="00C12E72" w:rsidRPr="00560EE3">
        <w:rPr>
          <w:spacing w:val="-4"/>
          <w:sz w:val="28"/>
          <w:szCs w:val="28"/>
        </w:rPr>
        <w:t>ы</w:t>
      </w:r>
      <w:r w:rsidR="005544A0" w:rsidRPr="00560EE3">
        <w:rPr>
          <w:spacing w:val="-4"/>
          <w:sz w:val="28"/>
          <w:szCs w:val="28"/>
        </w:rPr>
        <w:t>.</w:t>
      </w:r>
    </w:p>
    <w:p w:rsidR="00624A69" w:rsidRPr="005544A0" w:rsidRDefault="00624A69" w:rsidP="00C916AB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5544A0">
        <w:rPr>
          <w:sz w:val="28"/>
          <w:szCs w:val="28"/>
        </w:rPr>
        <w:t>С</w:t>
      </w:r>
      <w:r w:rsidRPr="005544A0">
        <w:rPr>
          <w:spacing w:val="-4"/>
          <w:sz w:val="28"/>
          <w:szCs w:val="28"/>
        </w:rPr>
        <w:t>ократили свои текущие обязательства</w:t>
      </w:r>
      <w:r w:rsidR="00F712D3" w:rsidRPr="005544A0">
        <w:rPr>
          <w:spacing w:val="-4"/>
          <w:sz w:val="28"/>
          <w:szCs w:val="28"/>
        </w:rPr>
        <w:t xml:space="preserve"> </w:t>
      </w:r>
      <w:r w:rsidR="00F712D3" w:rsidRPr="005544A0">
        <w:rPr>
          <w:sz w:val="28"/>
          <w:szCs w:val="28"/>
        </w:rPr>
        <w:t>МУП «Горэлектросеть»</w:t>
      </w:r>
      <w:r w:rsidR="000D69D0" w:rsidRPr="005544A0">
        <w:rPr>
          <w:spacing w:val="-4"/>
          <w:sz w:val="28"/>
          <w:szCs w:val="28"/>
        </w:rPr>
        <w:t xml:space="preserve"> </w:t>
      </w:r>
      <w:r w:rsidR="00F712D3" w:rsidRPr="005544A0">
        <w:rPr>
          <w:spacing w:val="-4"/>
          <w:sz w:val="28"/>
          <w:szCs w:val="28"/>
        </w:rPr>
        <w:t xml:space="preserve">(↓ 1,4 млн. рублей),  </w:t>
      </w:r>
      <w:r w:rsidR="000D69D0" w:rsidRPr="005544A0">
        <w:rPr>
          <w:spacing w:val="-4"/>
          <w:sz w:val="28"/>
          <w:szCs w:val="28"/>
        </w:rPr>
        <w:t xml:space="preserve">МУП «РВЦЛ» (↓ </w:t>
      </w:r>
      <w:r w:rsidR="00F712D3" w:rsidRPr="005544A0">
        <w:rPr>
          <w:spacing w:val="-4"/>
          <w:sz w:val="28"/>
          <w:szCs w:val="28"/>
        </w:rPr>
        <w:t>1,8</w:t>
      </w:r>
      <w:r w:rsidR="000D69D0" w:rsidRPr="005544A0">
        <w:rPr>
          <w:spacing w:val="-4"/>
          <w:sz w:val="28"/>
          <w:szCs w:val="28"/>
        </w:rPr>
        <w:t xml:space="preserve"> млн. рублей)</w:t>
      </w:r>
      <w:r w:rsidRPr="005544A0">
        <w:rPr>
          <w:spacing w:val="-4"/>
          <w:sz w:val="28"/>
          <w:szCs w:val="28"/>
        </w:rPr>
        <w:t>,</w:t>
      </w:r>
      <w:r w:rsidR="00F712D3" w:rsidRPr="005544A0">
        <w:rPr>
          <w:spacing w:val="-4"/>
          <w:sz w:val="28"/>
          <w:szCs w:val="28"/>
        </w:rPr>
        <w:t xml:space="preserve"> МКП «Липецкгорсвет» (↓ 7,8 млн. рублей)</w:t>
      </w:r>
      <w:r w:rsidRPr="005544A0">
        <w:rPr>
          <w:spacing w:val="-4"/>
          <w:sz w:val="28"/>
          <w:szCs w:val="28"/>
        </w:rPr>
        <w:t>.</w:t>
      </w:r>
    </w:p>
    <w:p w:rsidR="00392EAD" w:rsidRDefault="00B373B3" w:rsidP="00C9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544A0">
        <w:rPr>
          <w:sz w:val="28"/>
          <w:szCs w:val="28"/>
        </w:rPr>
        <w:lastRenderedPageBreak/>
        <w:t xml:space="preserve">По результатам мониторинга </w:t>
      </w:r>
      <w:r w:rsidR="007A1512" w:rsidRPr="005544A0">
        <w:rPr>
          <w:sz w:val="28"/>
          <w:szCs w:val="28"/>
        </w:rPr>
        <w:t>суммированн</w:t>
      </w:r>
      <w:r w:rsidR="009E29A6" w:rsidRPr="005544A0">
        <w:rPr>
          <w:sz w:val="28"/>
          <w:szCs w:val="28"/>
        </w:rPr>
        <w:t>ая</w:t>
      </w:r>
      <w:r w:rsidR="007A1512" w:rsidRPr="005544A0">
        <w:rPr>
          <w:sz w:val="28"/>
          <w:szCs w:val="28"/>
        </w:rPr>
        <w:t xml:space="preserve"> </w:t>
      </w:r>
      <w:r w:rsidR="002C3819">
        <w:rPr>
          <w:sz w:val="28"/>
          <w:szCs w:val="28"/>
        </w:rPr>
        <w:t>(</w:t>
      </w:r>
      <w:r w:rsidR="007A1512" w:rsidRPr="005544A0">
        <w:rPr>
          <w:sz w:val="28"/>
          <w:szCs w:val="28"/>
        </w:rPr>
        <w:t>по всем МУП</w:t>
      </w:r>
      <w:r w:rsidR="002C3819">
        <w:rPr>
          <w:sz w:val="28"/>
          <w:szCs w:val="28"/>
        </w:rPr>
        <w:t>)</w:t>
      </w:r>
      <w:r w:rsidR="007D35EE" w:rsidRPr="005544A0">
        <w:rPr>
          <w:sz w:val="28"/>
          <w:szCs w:val="28"/>
        </w:rPr>
        <w:t xml:space="preserve"> просроченн</w:t>
      </w:r>
      <w:r w:rsidR="009E29A6" w:rsidRPr="005544A0">
        <w:rPr>
          <w:sz w:val="28"/>
          <w:szCs w:val="28"/>
        </w:rPr>
        <w:t>ая</w:t>
      </w:r>
      <w:r w:rsidR="007D35EE" w:rsidRPr="005544A0">
        <w:rPr>
          <w:sz w:val="28"/>
          <w:szCs w:val="28"/>
        </w:rPr>
        <w:t xml:space="preserve"> кредиторск</w:t>
      </w:r>
      <w:r w:rsidR="009E29A6" w:rsidRPr="005544A0">
        <w:rPr>
          <w:sz w:val="28"/>
          <w:szCs w:val="28"/>
        </w:rPr>
        <w:t>ая</w:t>
      </w:r>
      <w:r w:rsidR="007D35EE" w:rsidRPr="005544A0">
        <w:rPr>
          <w:sz w:val="28"/>
          <w:szCs w:val="28"/>
        </w:rPr>
        <w:t xml:space="preserve"> задолженност</w:t>
      </w:r>
      <w:r w:rsidR="009E29A6" w:rsidRPr="005544A0">
        <w:rPr>
          <w:sz w:val="28"/>
          <w:szCs w:val="28"/>
        </w:rPr>
        <w:t>ь</w:t>
      </w:r>
      <w:r w:rsidR="002A3C33" w:rsidRPr="005544A0">
        <w:rPr>
          <w:sz w:val="28"/>
          <w:szCs w:val="28"/>
        </w:rPr>
        <w:t xml:space="preserve"> </w:t>
      </w:r>
      <w:r w:rsidR="00926218" w:rsidRPr="005544A0">
        <w:rPr>
          <w:sz w:val="28"/>
          <w:szCs w:val="28"/>
        </w:rPr>
        <w:t>увеличилась</w:t>
      </w:r>
      <w:r w:rsidR="002E34A8" w:rsidRPr="005544A0">
        <w:rPr>
          <w:sz w:val="28"/>
          <w:szCs w:val="28"/>
        </w:rPr>
        <w:t xml:space="preserve"> с </w:t>
      </w:r>
      <w:r w:rsidR="002F4EB8" w:rsidRPr="005544A0">
        <w:rPr>
          <w:sz w:val="28"/>
          <w:szCs w:val="28"/>
        </w:rPr>
        <w:t>33,7</w:t>
      </w:r>
      <w:r w:rsidR="002E34A8" w:rsidRPr="005544A0">
        <w:rPr>
          <w:sz w:val="28"/>
          <w:szCs w:val="28"/>
        </w:rPr>
        <w:t xml:space="preserve"> до </w:t>
      </w:r>
      <w:r w:rsidR="009E29A6" w:rsidRPr="005544A0">
        <w:rPr>
          <w:sz w:val="28"/>
          <w:szCs w:val="28"/>
        </w:rPr>
        <w:t>112</w:t>
      </w:r>
      <w:r w:rsidR="002F4EB8" w:rsidRPr="005544A0">
        <w:rPr>
          <w:sz w:val="28"/>
          <w:szCs w:val="28"/>
        </w:rPr>
        <w:t>,9</w:t>
      </w:r>
      <w:r w:rsidR="002E34A8" w:rsidRPr="005544A0">
        <w:rPr>
          <w:sz w:val="28"/>
          <w:szCs w:val="28"/>
        </w:rPr>
        <w:t xml:space="preserve"> млн. рублей</w:t>
      </w:r>
      <w:r w:rsidR="007D35EE" w:rsidRPr="005544A0">
        <w:rPr>
          <w:sz w:val="28"/>
          <w:szCs w:val="28"/>
        </w:rPr>
        <w:t xml:space="preserve"> </w:t>
      </w:r>
      <w:r w:rsidR="002E34A8" w:rsidRPr="005544A0">
        <w:rPr>
          <w:sz w:val="28"/>
          <w:szCs w:val="28"/>
        </w:rPr>
        <w:t>(</w:t>
      </w:r>
      <w:r w:rsidR="001A655D" w:rsidRPr="005544A0">
        <w:rPr>
          <w:sz w:val="28"/>
          <w:szCs w:val="28"/>
        </w:rPr>
        <w:t xml:space="preserve">на </w:t>
      </w:r>
      <w:r w:rsidR="009E29A6" w:rsidRPr="005544A0">
        <w:rPr>
          <w:sz w:val="28"/>
          <w:szCs w:val="28"/>
        </w:rPr>
        <w:t>79,2</w:t>
      </w:r>
      <w:r w:rsidR="00180C3A" w:rsidRPr="005544A0">
        <w:rPr>
          <w:sz w:val="28"/>
          <w:szCs w:val="28"/>
        </w:rPr>
        <w:t xml:space="preserve"> млн. рублей</w:t>
      </w:r>
      <w:r w:rsidR="00A07688" w:rsidRPr="005544A0">
        <w:rPr>
          <w:sz w:val="28"/>
          <w:szCs w:val="28"/>
        </w:rPr>
        <w:t xml:space="preserve"> </w:t>
      </w:r>
      <w:r w:rsidR="002E34A8" w:rsidRPr="005544A0">
        <w:rPr>
          <w:sz w:val="28"/>
          <w:szCs w:val="28"/>
        </w:rPr>
        <w:t xml:space="preserve">или </w:t>
      </w:r>
      <w:r w:rsidR="00A07688" w:rsidRPr="005544A0">
        <w:rPr>
          <w:sz w:val="28"/>
          <w:szCs w:val="28"/>
        </w:rPr>
        <w:t xml:space="preserve">в </w:t>
      </w:r>
      <w:r w:rsidR="004F62FC" w:rsidRPr="005544A0">
        <w:rPr>
          <w:sz w:val="28"/>
          <w:szCs w:val="28"/>
        </w:rPr>
        <w:t>3</w:t>
      </w:r>
      <w:r w:rsidR="00A07688" w:rsidRPr="005544A0">
        <w:rPr>
          <w:sz w:val="28"/>
          <w:szCs w:val="28"/>
        </w:rPr>
        <w:t xml:space="preserve"> раза)</w:t>
      </w:r>
      <w:r w:rsidR="00553445" w:rsidRPr="005544A0">
        <w:rPr>
          <w:sz w:val="28"/>
          <w:szCs w:val="28"/>
        </w:rPr>
        <w:t xml:space="preserve"> и</w:t>
      </w:r>
      <w:r w:rsidR="002A3C33" w:rsidRPr="005544A0">
        <w:rPr>
          <w:sz w:val="28"/>
          <w:szCs w:val="28"/>
        </w:rPr>
        <w:t xml:space="preserve"> составила</w:t>
      </w:r>
      <w:r w:rsidR="007D35EE" w:rsidRPr="005544A0">
        <w:rPr>
          <w:sz w:val="28"/>
          <w:szCs w:val="28"/>
        </w:rPr>
        <w:t xml:space="preserve"> от общего объема </w:t>
      </w:r>
      <w:r w:rsidR="009E29A6" w:rsidRPr="005544A0">
        <w:rPr>
          <w:sz w:val="28"/>
          <w:szCs w:val="28"/>
        </w:rPr>
        <w:t>22</w:t>
      </w:r>
      <w:r w:rsidR="001A655D" w:rsidRPr="005544A0">
        <w:rPr>
          <w:sz w:val="28"/>
          <w:szCs w:val="28"/>
        </w:rPr>
        <w:t>%</w:t>
      </w:r>
      <w:r w:rsidR="000238EA" w:rsidRPr="005544A0">
        <w:rPr>
          <w:sz w:val="28"/>
          <w:szCs w:val="28"/>
        </w:rPr>
        <w:t>.</w:t>
      </w:r>
    </w:p>
    <w:p w:rsidR="009D4C31" w:rsidRDefault="00DE6EBA" w:rsidP="00B63C4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9D4C31">
        <w:rPr>
          <w:sz w:val="28"/>
          <w:szCs w:val="28"/>
        </w:rPr>
        <w:t>доля</w:t>
      </w:r>
      <w:r>
        <w:rPr>
          <w:sz w:val="28"/>
          <w:szCs w:val="28"/>
        </w:rPr>
        <w:t xml:space="preserve"> просроченной кредиторс</w:t>
      </w:r>
      <w:r w:rsidR="00B63C4B">
        <w:rPr>
          <w:sz w:val="28"/>
          <w:szCs w:val="28"/>
        </w:rPr>
        <w:t xml:space="preserve">кой задолженности приходится на </w:t>
      </w:r>
      <w:r w:rsidR="009D4C31" w:rsidRPr="009D4C31">
        <w:rPr>
          <w:sz w:val="28"/>
          <w:szCs w:val="28"/>
        </w:rPr>
        <w:t>МК РСДП и составляет 44%</w:t>
      </w:r>
      <w:r w:rsidR="009D4C31">
        <w:rPr>
          <w:sz w:val="28"/>
          <w:szCs w:val="28"/>
        </w:rPr>
        <w:t xml:space="preserve"> или </w:t>
      </w:r>
      <w:r w:rsidR="009D4C31" w:rsidRPr="009D4C31">
        <w:rPr>
          <w:sz w:val="28"/>
          <w:szCs w:val="28"/>
        </w:rPr>
        <w:t>49,5 млн. рублей</w:t>
      </w:r>
      <w:r w:rsidR="00B63C4B">
        <w:rPr>
          <w:sz w:val="28"/>
          <w:szCs w:val="28"/>
        </w:rPr>
        <w:t xml:space="preserve"> и </w:t>
      </w:r>
      <w:r w:rsidR="006163AE" w:rsidRPr="005544A0">
        <w:rPr>
          <w:rStyle w:val="4"/>
          <w:b w:val="0"/>
          <w:sz w:val="28"/>
          <w:szCs w:val="28"/>
        </w:rPr>
        <w:t xml:space="preserve">МУП «Второе ГЖУ» </w:t>
      </w:r>
      <w:r w:rsidR="00B63C4B">
        <w:rPr>
          <w:rStyle w:val="4"/>
          <w:b w:val="0"/>
          <w:sz w:val="28"/>
          <w:szCs w:val="28"/>
        </w:rPr>
        <w:sym w:font="Symbol" w:char="F02D"/>
      </w:r>
      <w:r w:rsidR="00B63C4B">
        <w:rPr>
          <w:rStyle w:val="4"/>
          <w:b w:val="0"/>
          <w:sz w:val="28"/>
          <w:szCs w:val="28"/>
        </w:rPr>
        <w:t xml:space="preserve"> </w:t>
      </w:r>
      <w:r w:rsidR="00785937" w:rsidRPr="009D4C31">
        <w:rPr>
          <w:rStyle w:val="4"/>
          <w:b w:val="0"/>
          <w:sz w:val="28"/>
          <w:szCs w:val="28"/>
        </w:rPr>
        <w:t xml:space="preserve"> </w:t>
      </w:r>
      <w:r w:rsidR="009D4C31" w:rsidRPr="009D4C31">
        <w:rPr>
          <w:rStyle w:val="4"/>
          <w:b w:val="0"/>
          <w:sz w:val="28"/>
          <w:szCs w:val="28"/>
        </w:rPr>
        <w:t>34%</w:t>
      </w:r>
      <w:r w:rsidR="009D4C31">
        <w:rPr>
          <w:rStyle w:val="4"/>
          <w:b w:val="0"/>
          <w:sz w:val="28"/>
          <w:szCs w:val="28"/>
        </w:rPr>
        <w:t xml:space="preserve"> или </w:t>
      </w:r>
      <w:r w:rsidR="00785937" w:rsidRPr="005544A0">
        <w:rPr>
          <w:rStyle w:val="4"/>
          <w:b w:val="0"/>
          <w:sz w:val="28"/>
          <w:szCs w:val="28"/>
        </w:rPr>
        <w:t>38,5 млн. рублей</w:t>
      </w:r>
      <w:r w:rsidR="009D4C31">
        <w:rPr>
          <w:sz w:val="28"/>
          <w:szCs w:val="28"/>
        </w:rPr>
        <w:t>.</w:t>
      </w:r>
      <w:r w:rsidR="00B63C4B">
        <w:rPr>
          <w:sz w:val="28"/>
          <w:szCs w:val="28"/>
        </w:rPr>
        <w:t xml:space="preserve"> </w:t>
      </w:r>
      <w:r w:rsidR="009D4C31" w:rsidRPr="009D4C31">
        <w:rPr>
          <w:sz w:val="28"/>
          <w:szCs w:val="28"/>
        </w:rPr>
        <w:t>Погашение о</w:t>
      </w:r>
      <w:r w:rsidR="009D4C31">
        <w:rPr>
          <w:sz w:val="28"/>
          <w:szCs w:val="28"/>
        </w:rPr>
        <w:t>бязательств затруднено в</w:t>
      </w:r>
      <w:r w:rsidR="009D4C31" w:rsidRPr="009D4C31">
        <w:rPr>
          <w:sz w:val="28"/>
          <w:szCs w:val="28"/>
        </w:rPr>
        <w:t>виду сложного финансового состояния</w:t>
      </w:r>
      <w:r w:rsidR="009D4C31">
        <w:rPr>
          <w:sz w:val="28"/>
          <w:szCs w:val="28"/>
        </w:rPr>
        <w:t xml:space="preserve"> предприятий</w:t>
      </w:r>
      <w:r w:rsidR="009D4C31" w:rsidRPr="009D4C31">
        <w:rPr>
          <w:sz w:val="28"/>
          <w:szCs w:val="28"/>
        </w:rPr>
        <w:t>.</w:t>
      </w:r>
    </w:p>
    <w:p w:rsidR="009D4C31" w:rsidRDefault="004F5E0B" w:rsidP="00C916AB">
      <w:pPr>
        <w:ind w:firstLine="709"/>
        <w:jc w:val="both"/>
        <w:rPr>
          <w:sz w:val="28"/>
          <w:szCs w:val="28"/>
        </w:rPr>
      </w:pPr>
      <w:r w:rsidRPr="005544A0">
        <w:rPr>
          <w:sz w:val="28"/>
          <w:szCs w:val="28"/>
        </w:rPr>
        <w:t xml:space="preserve">Просроченная </w:t>
      </w:r>
      <w:r w:rsidR="00F84468" w:rsidRPr="005544A0">
        <w:rPr>
          <w:sz w:val="28"/>
          <w:szCs w:val="28"/>
        </w:rPr>
        <w:t>задолженность</w:t>
      </w:r>
      <w:r w:rsidRPr="005544A0">
        <w:rPr>
          <w:sz w:val="28"/>
          <w:szCs w:val="28"/>
        </w:rPr>
        <w:t xml:space="preserve"> МУП </w:t>
      </w:r>
      <w:r w:rsidR="009D4C31">
        <w:rPr>
          <w:sz w:val="28"/>
          <w:szCs w:val="28"/>
        </w:rPr>
        <w:t>«</w:t>
      </w:r>
      <w:r w:rsidRPr="005544A0">
        <w:rPr>
          <w:sz w:val="28"/>
          <w:szCs w:val="28"/>
        </w:rPr>
        <w:t>БПХ</w:t>
      </w:r>
      <w:r w:rsidR="009D4C31">
        <w:rPr>
          <w:sz w:val="28"/>
          <w:szCs w:val="28"/>
        </w:rPr>
        <w:t>»</w:t>
      </w:r>
      <w:r w:rsidR="00823CA4" w:rsidRPr="005544A0">
        <w:rPr>
          <w:sz w:val="28"/>
          <w:szCs w:val="28"/>
        </w:rPr>
        <w:t xml:space="preserve"> </w:t>
      </w:r>
      <w:r w:rsidR="0024320E" w:rsidRPr="005544A0">
        <w:rPr>
          <w:sz w:val="28"/>
          <w:szCs w:val="28"/>
        </w:rPr>
        <w:t>по состоянию на 01.</w:t>
      </w:r>
      <w:r w:rsidR="0033498E" w:rsidRPr="005544A0">
        <w:rPr>
          <w:sz w:val="28"/>
          <w:szCs w:val="28"/>
        </w:rPr>
        <w:t>01</w:t>
      </w:r>
      <w:r w:rsidR="0024320E" w:rsidRPr="005544A0">
        <w:rPr>
          <w:sz w:val="28"/>
          <w:szCs w:val="28"/>
        </w:rPr>
        <w:t>.201</w:t>
      </w:r>
      <w:r w:rsidR="0033498E" w:rsidRPr="005544A0">
        <w:rPr>
          <w:sz w:val="28"/>
          <w:szCs w:val="28"/>
        </w:rPr>
        <w:t>8</w:t>
      </w:r>
      <w:r w:rsidR="0024320E" w:rsidRPr="005544A0">
        <w:rPr>
          <w:sz w:val="28"/>
          <w:szCs w:val="28"/>
        </w:rPr>
        <w:t xml:space="preserve"> </w:t>
      </w:r>
      <w:r w:rsidR="00E52455" w:rsidRPr="005544A0">
        <w:rPr>
          <w:sz w:val="28"/>
          <w:szCs w:val="28"/>
        </w:rPr>
        <w:t>составил</w:t>
      </w:r>
      <w:r w:rsidRPr="005544A0">
        <w:rPr>
          <w:sz w:val="28"/>
          <w:szCs w:val="28"/>
        </w:rPr>
        <w:t>а 1</w:t>
      </w:r>
      <w:r w:rsidR="0033498E" w:rsidRPr="005544A0">
        <w:rPr>
          <w:sz w:val="28"/>
          <w:szCs w:val="28"/>
        </w:rPr>
        <w:t>2,5</w:t>
      </w:r>
      <w:r w:rsidRPr="005544A0">
        <w:rPr>
          <w:sz w:val="28"/>
          <w:szCs w:val="28"/>
        </w:rPr>
        <w:t xml:space="preserve"> млн. рублей перед АО «ЛГЭК»</w:t>
      </w:r>
      <w:r w:rsidR="00E52455" w:rsidRPr="005544A0">
        <w:rPr>
          <w:sz w:val="28"/>
          <w:szCs w:val="28"/>
        </w:rPr>
        <w:t xml:space="preserve"> </w:t>
      </w:r>
      <w:r w:rsidR="00B373B3" w:rsidRPr="005544A0">
        <w:rPr>
          <w:sz w:val="28"/>
          <w:szCs w:val="28"/>
        </w:rPr>
        <w:t>по судебному решению з</w:t>
      </w:r>
      <w:r w:rsidR="00E52455" w:rsidRPr="005544A0">
        <w:rPr>
          <w:sz w:val="28"/>
          <w:szCs w:val="28"/>
        </w:rPr>
        <w:t>а</w:t>
      </w:r>
      <w:r w:rsidR="00B373B3" w:rsidRPr="005544A0">
        <w:rPr>
          <w:sz w:val="28"/>
          <w:szCs w:val="28"/>
        </w:rPr>
        <w:t xml:space="preserve"> </w:t>
      </w:r>
      <w:r w:rsidR="0036679D" w:rsidRPr="005544A0">
        <w:rPr>
          <w:rStyle w:val="4"/>
          <w:b w:val="0"/>
          <w:sz w:val="28"/>
          <w:szCs w:val="28"/>
        </w:rPr>
        <w:t>потребленные энергоресурсы</w:t>
      </w:r>
      <w:r w:rsidR="00F84468" w:rsidRPr="005544A0">
        <w:rPr>
          <w:sz w:val="28"/>
          <w:szCs w:val="28"/>
        </w:rPr>
        <w:t>.</w:t>
      </w:r>
      <w:r w:rsidR="00B016B8" w:rsidRPr="005544A0">
        <w:rPr>
          <w:sz w:val="28"/>
          <w:szCs w:val="28"/>
        </w:rPr>
        <w:t xml:space="preserve"> </w:t>
      </w:r>
    </w:p>
    <w:p w:rsidR="001079C9" w:rsidRPr="005544A0" w:rsidRDefault="001079C9" w:rsidP="00C916AB">
      <w:pPr>
        <w:ind w:firstLine="709"/>
        <w:jc w:val="both"/>
        <w:rPr>
          <w:sz w:val="28"/>
          <w:szCs w:val="28"/>
        </w:rPr>
      </w:pPr>
      <w:r w:rsidRPr="005544A0">
        <w:rPr>
          <w:sz w:val="28"/>
          <w:szCs w:val="28"/>
        </w:rPr>
        <w:t xml:space="preserve">Просроченная кредиторская задолженность МУП «ЛиСА» в сумме </w:t>
      </w:r>
      <w:r w:rsidR="001B397A" w:rsidRPr="005544A0">
        <w:rPr>
          <w:sz w:val="28"/>
          <w:szCs w:val="28"/>
        </w:rPr>
        <w:t>11</w:t>
      </w:r>
      <w:r w:rsidRPr="005544A0">
        <w:rPr>
          <w:sz w:val="28"/>
          <w:szCs w:val="28"/>
        </w:rPr>
        <w:t xml:space="preserve"> млн. рублей</w:t>
      </w:r>
      <w:r w:rsidR="002A4CD2">
        <w:rPr>
          <w:sz w:val="28"/>
          <w:szCs w:val="28"/>
        </w:rPr>
        <w:t xml:space="preserve"> сложилась</w:t>
      </w:r>
      <w:r w:rsidRPr="005544A0">
        <w:rPr>
          <w:sz w:val="28"/>
          <w:szCs w:val="28"/>
        </w:rPr>
        <w:t xml:space="preserve"> перед ЗАО «Фирма СЭНС»</w:t>
      </w:r>
      <w:r w:rsidR="007A00E5" w:rsidRPr="005544A0">
        <w:rPr>
          <w:sz w:val="28"/>
          <w:szCs w:val="28"/>
        </w:rPr>
        <w:t xml:space="preserve"> </w:t>
      </w:r>
      <w:r w:rsidRPr="005544A0">
        <w:rPr>
          <w:sz w:val="28"/>
          <w:szCs w:val="28"/>
        </w:rPr>
        <w:t>за работы по ре</w:t>
      </w:r>
      <w:r w:rsidR="002A4CD2">
        <w:rPr>
          <w:sz w:val="28"/>
          <w:szCs w:val="28"/>
        </w:rPr>
        <w:t xml:space="preserve">конструкции очистных сооружений. Оплата не производилась </w:t>
      </w:r>
      <w:r w:rsidRPr="005544A0">
        <w:rPr>
          <w:sz w:val="28"/>
          <w:szCs w:val="28"/>
        </w:rPr>
        <w:t xml:space="preserve">в связи с процедурой банкротства ЗАО «Фирма СЭНС», которое в настоящее время находится в стадии ликвидации. По истечении срока исковой давности задолженность будет списана на финансовые результаты. </w:t>
      </w:r>
    </w:p>
    <w:p w:rsidR="001079C9" w:rsidRPr="005544A0" w:rsidRDefault="00EF6194" w:rsidP="00C916AB">
      <w:pPr>
        <w:ind w:firstLine="709"/>
        <w:jc w:val="both"/>
        <w:rPr>
          <w:sz w:val="28"/>
          <w:szCs w:val="28"/>
        </w:rPr>
      </w:pPr>
      <w:r w:rsidRPr="005544A0">
        <w:rPr>
          <w:sz w:val="28"/>
          <w:szCs w:val="28"/>
        </w:rPr>
        <w:t>Образование п</w:t>
      </w:r>
      <w:r w:rsidR="001079C9" w:rsidRPr="005544A0">
        <w:rPr>
          <w:sz w:val="28"/>
          <w:szCs w:val="28"/>
        </w:rPr>
        <w:t>росроченн</w:t>
      </w:r>
      <w:r w:rsidRPr="005544A0">
        <w:rPr>
          <w:sz w:val="28"/>
          <w:szCs w:val="28"/>
        </w:rPr>
        <w:t>ой</w:t>
      </w:r>
      <w:r w:rsidR="001079C9" w:rsidRPr="005544A0">
        <w:rPr>
          <w:sz w:val="28"/>
          <w:szCs w:val="28"/>
        </w:rPr>
        <w:t xml:space="preserve"> кредиторск</w:t>
      </w:r>
      <w:r w:rsidRPr="005544A0">
        <w:rPr>
          <w:sz w:val="28"/>
          <w:szCs w:val="28"/>
        </w:rPr>
        <w:t>ой</w:t>
      </w:r>
      <w:r w:rsidR="001079C9" w:rsidRPr="005544A0">
        <w:rPr>
          <w:sz w:val="28"/>
          <w:szCs w:val="28"/>
        </w:rPr>
        <w:t xml:space="preserve"> задолженност</w:t>
      </w:r>
      <w:r w:rsidRPr="005544A0">
        <w:rPr>
          <w:sz w:val="28"/>
          <w:szCs w:val="28"/>
        </w:rPr>
        <w:t>и</w:t>
      </w:r>
      <w:r w:rsidR="001079C9" w:rsidRPr="005544A0">
        <w:rPr>
          <w:sz w:val="28"/>
          <w:szCs w:val="28"/>
        </w:rPr>
        <w:t xml:space="preserve"> МУП «РВЦЛ» </w:t>
      </w:r>
      <w:r w:rsidRPr="005544A0">
        <w:rPr>
          <w:sz w:val="28"/>
          <w:szCs w:val="28"/>
        </w:rPr>
        <w:t xml:space="preserve">перед поставщиками и подрядчиками </w:t>
      </w:r>
      <w:r w:rsidR="001079C9" w:rsidRPr="005544A0">
        <w:rPr>
          <w:sz w:val="28"/>
          <w:szCs w:val="28"/>
        </w:rPr>
        <w:t xml:space="preserve">в сумме </w:t>
      </w:r>
      <w:r w:rsidRPr="005544A0">
        <w:rPr>
          <w:sz w:val="28"/>
          <w:szCs w:val="28"/>
        </w:rPr>
        <w:t>1,4</w:t>
      </w:r>
      <w:r w:rsidR="001079C9" w:rsidRPr="005544A0">
        <w:rPr>
          <w:sz w:val="28"/>
          <w:szCs w:val="28"/>
        </w:rPr>
        <w:t xml:space="preserve"> </w:t>
      </w:r>
      <w:r w:rsidR="000650BC" w:rsidRPr="005544A0">
        <w:rPr>
          <w:sz w:val="28"/>
          <w:szCs w:val="28"/>
        </w:rPr>
        <w:t xml:space="preserve">млн. </w:t>
      </w:r>
      <w:r w:rsidR="001079C9" w:rsidRPr="005544A0">
        <w:rPr>
          <w:sz w:val="28"/>
          <w:szCs w:val="28"/>
        </w:rPr>
        <w:t>рублей</w:t>
      </w:r>
      <w:r w:rsidRPr="005544A0">
        <w:rPr>
          <w:sz w:val="28"/>
          <w:szCs w:val="28"/>
        </w:rPr>
        <w:t xml:space="preserve"> </w:t>
      </w:r>
      <w:r w:rsidR="007948E0" w:rsidRPr="005544A0">
        <w:rPr>
          <w:sz w:val="28"/>
          <w:szCs w:val="28"/>
        </w:rPr>
        <w:t xml:space="preserve">связано с </w:t>
      </w:r>
      <w:r w:rsidR="000750A2" w:rsidRPr="005544A0">
        <w:rPr>
          <w:sz w:val="28"/>
          <w:szCs w:val="28"/>
        </w:rPr>
        <w:t xml:space="preserve">отсутствием денежных средств из-за </w:t>
      </w:r>
      <w:r w:rsidR="002A4CD2">
        <w:rPr>
          <w:sz w:val="28"/>
          <w:szCs w:val="28"/>
        </w:rPr>
        <w:t>сниж</w:t>
      </w:r>
      <w:r w:rsidR="007948E0" w:rsidRPr="005544A0">
        <w:rPr>
          <w:sz w:val="28"/>
          <w:szCs w:val="28"/>
        </w:rPr>
        <w:t>ени</w:t>
      </w:r>
      <w:r w:rsidR="000750A2" w:rsidRPr="005544A0">
        <w:rPr>
          <w:sz w:val="28"/>
          <w:szCs w:val="28"/>
        </w:rPr>
        <w:t xml:space="preserve">я </w:t>
      </w:r>
      <w:r w:rsidR="007948E0" w:rsidRPr="005544A0">
        <w:rPr>
          <w:sz w:val="28"/>
          <w:szCs w:val="28"/>
        </w:rPr>
        <w:t>доходов от услуг, оказываемых управляющим компаниям, что обусловлено уменьшением площади обслуживаемого жилищного фонда  и количества лицевых счетов.</w:t>
      </w:r>
    </w:p>
    <w:p w:rsidR="00F10112" w:rsidRPr="005544A0" w:rsidRDefault="00F10112" w:rsidP="00C916AB">
      <w:pPr>
        <w:ind w:firstLine="709"/>
        <w:jc w:val="both"/>
        <w:rPr>
          <w:sz w:val="28"/>
          <w:szCs w:val="28"/>
        </w:rPr>
      </w:pPr>
      <w:r w:rsidRPr="005544A0">
        <w:rPr>
          <w:sz w:val="28"/>
          <w:szCs w:val="28"/>
        </w:rPr>
        <w:t xml:space="preserve">Структура кредиторской задолженности </w:t>
      </w:r>
      <w:r w:rsidR="007E699B">
        <w:rPr>
          <w:sz w:val="28"/>
          <w:szCs w:val="28"/>
        </w:rPr>
        <w:t>по состоянию на 01.01.2018</w:t>
      </w:r>
      <w:r w:rsidR="00EA32B4" w:rsidRPr="005544A0">
        <w:rPr>
          <w:sz w:val="28"/>
          <w:szCs w:val="28"/>
        </w:rPr>
        <w:t xml:space="preserve"> </w:t>
      </w:r>
      <w:r w:rsidRPr="005544A0">
        <w:rPr>
          <w:sz w:val="28"/>
          <w:szCs w:val="28"/>
        </w:rPr>
        <w:t xml:space="preserve">сохранилась на прежнем уровне, за исключением увеличения доли расчетов с </w:t>
      </w:r>
      <w:r w:rsidR="00471A54" w:rsidRPr="005544A0">
        <w:rPr>
          <w:sz w:val="28"/>
          <w:szCs w:val="28"/>
        </w:rPr>
        <w:t>прочими кредиторами</w:t>
      </w:r>
      <w:r w:rsidRPr="005544A0">
        <w:rPr>
          <w:sz w:val="28"/>
          <w:szCs w:val="28"/>
        </w:rPr>
        <w:t>. Изменение произошло за счет увеличения данного показателя в</w:t>
      </w:r>
      <w:r w:rsidR="00607A9E">
        <w:rPr>
          <w:sz w:val="28"/>
          <w:szCs w:val="28"/>
        </w:rPr>
        <w:t xml:space="preserve"> </w:t>
      </w:r>
      <w:r w:rsidRPr="005544A0">
        <w:rPr>
          <w:sz w:val="28"/>
          <w:szCs w:val="28"/>
        </w:rPr>
        <w:t>МУП «</w:t>
      </w:r>
      <w:r w:rsidR="00471A54" w:rsidRPr="005544A0">
        <w:rPr>
          <w:sz w:val="28"/>
          <w:szCs w:val="28"/>
        </w:rPr>
        <w:t>Липецкпассажиртранс</w:t>
      </w:r>
      <w:r w:rsidRPr="005544A0">
        <w:rPr>
          <w:sz w:val="28"/>
          <w:szCs w:val="28"/>
        </w:rPr>
        <w:t>», «</w:t>
      </w:r>
      <w:r w:rsidR="00471A54" w:rsidRPr="005544A0">
        <w:rPr>
          <w:sz w:val="28"/>
          <w:szCs w:val="28"/>
        </w:rPr>
        <w:t>ЛиСА</w:t>
      </w:r>
      <w:r w:rsidRPr="005544A0">
        <w:rPr>
          <w:sz w:val="28"/>
          <w:szCs w:val="28"/>
        </w:rPr>
        <w:t xml:space="preserve">», </w:t>
      </w:r>
      <w:r w:rsidR="00471A54" w:rsidRPr="005544A0">
        <w:rPr>
          <w:sz w:val="28"/>
          <w:szCs w:val="28"/>
        </w:rPr>
        <w:t>«Липецкая городская транспортная компания»</w:t>
      </w:r>
      <w:r w:rsidRPr="005544A0">
        <w:rPr>
          <w:sz w:val="28"/>
          <w:szCs w:val="28"/>
        </w:rPr>
        <w:t xml:space="preserve"> и «</w:t>
      </w:r>
      <w:r w:rsidR="00471A54" w:rsidRPr="005544A0">
        <w:rPr>
          <w:sz w:val="28"/>
          <w:szCs w:val="28"/>
        </w:rPr>
        <w:t>Второе ГЖУ</w:t>
      </w:r>
      <w:r w:rsidRPr="005544A0">
        <w:rPr>
          <w:sz w:val="28"/>
          <w:szCs w:val="28"/>
        </w:rPr>
        <w:t>».</w:t>
      </w:r>
    </w:p>
    <w:p w:rsidR="00F10112" w:rsidRPr="005544A0" w:rsidRDefault="00F10112" w:rsidP="00C916AB">
      <w:pPr>
        <w:ind w:firstLine="709"/>
        <w:jc w:val="both"/>
        <w:rPr>
          <w:sz w:val="28"/>
          <w:szCs w:val="28"/>
        </w:rPr>
      </w:pPr>
    </w:p>
    <w:p w:rsidR="00F10112" w:rsidRPr="00C916AB" w:rsidRDefault="00F10112" w:rsidP="007B6059">
      <w:pPr>
        <w:jc w:val="center"/>
        <w:rPr>
          <w:sz w:val="28"/>
          <w:szCs w:val="28"/>
        </w:rPr>
      </w:pPr>
      <w:r w:rsidRPr="00C916AB">
        <w:rPr>
          <w:noProof/>
          <w:sz w:val="28"/>
          <w:szCs w:val="28"/>
        </w:rPr>
        <w:drawing>
          <wp:inline distT="0" distB="0" distL="0" distR="0" wp14:anchorId="6BA1D0A7" wp14:editId="39CE7EAC">
            <wp:extent cx="6288656" cy="2104846"/>
            <wp:effectExtent l="0" t="0" r="0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449F" w:rsidRPr="00400BAD" w:rsidRDefault="0045449F" w:rsidP="00400BAD">
      <w:pPr>
        <w:pStyle w:val="af1"/>
        <w:numPr>
          <w:ilvl w:val="0"/>
          <w:numId w:val="3"/>
        </w:numPr>
        <w:jc w:val="center"/>
        <w:rPr>
          <w:spacing w:val="-4"/>
          <w:sz w:val="28"/>
          <w:szCs w:val="28"/>
        </w:rPr>
      </w:pPr>
      <w:r w:rsidRPr="00400BAD">
        <w:rPr>
          <w:spacing w:val="-4"/>
          <w:sz w:val="28"/>
          <w:szCs w:val="28"/>
        </w:rPr>
        <w:t>Мониторинг дебиторской задолженности</w:t>
      </w:r>
    </w:p>
    <w:p w:rsidR="0045449F" w:rsidRDefault="0045449F" w:rsidP="0045449F">
      <w:pPr>
        <w:autoSpaceDE w:val="0"/>
        <w:autoSpaceDN w:val="0"/>
        <w:adjustRightInd w:val="0"/>
        <w:ind w:left="709"/>
        <w:jc w:val="center"/>
        <w:rPr>
          <w:spacing w:val="-4"/>
          <w:sz w:val="28"/>
          <w:szCs w:val="28"/>
        </w:rPr>
      </w:pPr>
      <w:r w:rsidRPr="00AE6DA6">
        <w:rPr>
          <w:spacing w:val="-4"/>
          <w:sz w:val="28"/>
          <w:szCs w:val="28"/>
        </w:rPr>
        <w:t>предприятий муниципального сектора экономики</w:t>
      </w:r>
    </w:p>
    <w:p w:rsidR="0045449F" w:rsidRDefault="0045449F" w:rsidP="0045449F">
      <w:pPr>
        <w:tabs>
          <w:tab w:val="left" w:pos="1134"/>
        </w:tabs>
        <w:jc w:val="both"/>
        <w:rPr>
          <w:sz w:val="28"/>
          <w:szCs w:val="28"/>
        </w:rPr>
      </w:pPr>
    </w:p>
    <w:p w:rsidR="004F7015" w:rsidRDefault="00E82CFE" w:rsidP="004F7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01.01.2018 </w:t>
      </w:r>
      <w:r w:rsidRPr="00E82CFE">
        <w:rPr>
          <w:sz w:val="28"/>
          <w:szCs w:val="28"/>
        </w:rPr>
        <w:t xml:space="preserve">общая сумма </w:t>
      </w:r>
      <w:r>
        <w:rPr>
          <w:sz w:val="28"/>
          <w:szCs w:val="28"/>
        </w:rPr>
        <w:t>деб</w:t>
      </w:r>
      <w:r w:rsidRPr="00E82CFE">
        <w:rPr>
          <w:sz w:val="28"/>
          <w:szCs w:val="28"/>
        </w:rPr>
        <w:t xml:space="preserve">иторской задолженности предприятий составила </w:t>
      </w:r>
      <w:r>
        <w:rPr>
          <w:sz w:val="28"/>
          <w:szCs w:val="28"/>
        </w:rPr>
        <w:t>437</w:t>
      </w:r>
      <w:r w:rsidRPr="00E82CFE">
        <w:rPr>
          <w:sz w:val="28"/>
          <w:szCs w:val="28"/>
        </w:rPr>
        <w:t xml:space="preserve"> млн. рублей. При этом доля задолженности предприятий ЖКХ составила </w:t>
      </w:r>
      <w:r>
        <w:rPr>
          <w:sz w:val="28"/>
          <w:szCs w:val="28"/>
        </w:rPr>
        <w:t>73</w:t>
      </w:r>
      <w:r w:rsidRPr="00E82CFE">
        <w:rPr>
          <w:sz w:val="28"/>
          <w:szCs w:val="28"/>
        </w:rPr>
        <w:t xml:space="preserve">% всех обязательств, транспорта – </w:t>
      </w:r>
      <w:r>
        <w:rPr>
          <w:sz w:val="28"/>
          <w:szCs w:val="28"/>
        </w:rPr>
        <w:t>15</w:t>
      </w:r>
      <w:r w:rsidRPr="00E82CFE">
        <w:rPr>
          <w:sz w:val="28"/>
          <w:szCs w:val="28"/>
        </w:rPr>
        <w:t xml:space="preserve">%, дорожного хозяйства и благоустройства </w:t>
      </w:r>
      <w:r>
        <w:rPr>
          <w:sz w:val="28"/>
          <w:szCs w:val="28"/>
        </w:rPr>
        <w:sym w:font="Symbol" w:char="F02D"/>
      </w:r>
      <w:r w:rsidRPr="00E82CFE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E82CFE">
        <w:rPr>
          <w:sz w:val="28"/>
          <w:szCs w:val="28"/>
        </w:rPr>
        <w:t>%.</w:t>
      </w:r>
    </w:p>
    <w:p w:rsidR="005544A0" w:rsidRDefault="00400BAD" w:rsidP="004F7015">
      <w:pPr>
        <w:ind w:firstLine="709"/>
        <w:jc w:val="both"/>
        <w:rPr>
          <w:sz w:val="28"/>
          <w:szCs w:val="28"/>
        </w:rPr>
      </w:pPr>
      <w:r w:rsidRPr="00C916AB">
        <w:rPr>
          <w:noProof/>
          <w:sz w:val="28"/>
          <w:szCs w:val="28"/>
        </w:rPr>
        <w:lastRenderedPageBreak/>
        <w:drawing>
          <wp:inline distT="0" distB="0" distL="0" distR="0" wp14:anchorId="0E2A535E" wp14:editId="08CD0874">
            <wp:extent cx="4830792" cy="3364302"/>
            <wp:effectExtent l="0" t="0" r="0" b="0"/>
            <wp:docPr id="1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44A0" w:rsidRDefault="00D02B47" w:rsidP="00D02B47">
      <w:pPr>
        <w:ind w:firstLine="709"/>
        <w:jc w:val="both"/>
        <w:rPr>
          <w:sz w:val="28"/>
          <w:szCs w:val="28"/>
        </w:rPr>
      </w:pPr>
      <w:r w:rsidRPr="000021DF">
        <w:rPr>
          <w:sz w:val="28"/>
          <w:szCs w:val="28"/>
        </w:rPr>
        <w:t xml:space="preserve">Доля просроченной задолженности в общей сумме дебиторской задолженности составляет 39%. При этом доля задолженности предприятий ЖКХ </w:t>
      </w:r>
      <w:r w:rsidR="00372707" w:rsidRPr="000021DF">
        <w:rPr>
          <w:sz w:val="28"/>
          <w:szCs w:val="28"/>
        </w:rPr>
        <w:t>составляет 90</w:t>
      </w:r>
      <w:r w:rsidRPr="000021DF">
        <w:rPr>
          <w:sz w:val="28"/>
          <w:szCs w:val="28"/>
        </w:rPr>
        <w:t>%, дорожн</w:t>
      </w:r>
      <w:r w:rsidR="00372707" w:rsidRPr="000021DF">
        <w:rPr>
          <w:sz w:val="28"/>
          <w:szCs w:val="28"/>
        </w:rPr>
        <w:t>ого хозяйства и благоустройства – 10</w:t>
      </w:r>
      <w:r w:rsidRPr="000021DF">
        <w:rPr>
          <w:sz w:val="28"/>
          <w:szCs w:val="28"/>
        </w:rPr>
        <w:t>%.</w:t>
      </w:r>
      <w:r w:rsidR="00372707" w:rsidRPr="000021DF">
        <w:rPr>
          <w:sz w:val="28"/>
          <w:szCs w:val="28"/>
        </w:rPr>
        <w:t xml:space="preserve"> </w:t>
      </w:r>
      <w:r w:rsidR="000021DF" w:rsidRPr="000021DF">
        <w:rPr>
          <w:sz w:val="28"/>
          <w:szCs w:val="28"/>
        </w:rPr>
        <w:t xml:space="preserve">Дебиторская задолженность, числящаяся за предприятиями департамента </w:t>
      </w:r>
      <w:r w:rsidR="00372707" w:rsidRPr="000021DF">
        <w:rPr>
          <w:sz w:val="28"/>
          <w:szCs w:val="28"/>
        </w:rPr>
        <w:t>транспорта</w:t>
      </w:r>
      <w:r w:rsidR="000021DF" w:rsidRPr="000021DF">
        <w:rPr>
          <w:sz w:val="28"/>
          <w:szCs w:val="28"/>
        </w:rPr>
        <w:t>,</w:t>
      </w:r>
      <w:r w:rsidR="00372707" w:rsidRPr="000021DF">
        <w:rPr>
          <w:sz w:val="28"/>
          <w:szCs w:val="28"/>
        </w:rPr>
        <w:t xml:space="preserve"> </w:t>
      </w:r>
      <w:r w:rsidR="000021DF" w:rsidRPr="000021DF">
        <w:rPr>
          <w:sz w:val="28"/>
          <w:szCs w:val="28"/>
        </w:rPr>
        <w:t xml:space="preserve">является текущей. </w:t>
      </w:r>
    </w:p>
    <w:p w:rsidR="001D2A5B" w:rsidRDefault="00BB385B" w:rsidP="00D02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сумма дебиторской задолженности </w:t>
      </w:r>
      <w:r w:rsidR="004F7015">
        <w:rPr>
          <w:sz w:val="28"/>
          <w:szCs w:val="28"/>
        </w:rPr>
        <w:t>сложилась</w:t>
      </w:r>
      <w:r>
        <w:rPr>
          <w:sz w:val="28"/>
          <w:szCs w:val="28"/>
        </w:rPr>
        <w:t xml:space="preserve"> </w:t>
      </w:r>
      <w:r w:rsidR="00A41C20">
        <w:rPr>
          <w:sz w:val="28"/>
          <w:szCs w:val="28"/>
        </w:rPr>
        <w:t>у</w:t>
      </w:r>
      <w:r>
        <w:rPr>
          <w:sz w:val="28"/>
          <w:szCs w:val="28"/>
        </w:rPr>
        <w:t xml:space="preserve"> следующи</w:t>
      </w:r>
      <w:r w:rsidR="00A41C20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предприяти</w:t>
      </w:r>
      <w:r w:rsidR="00A41C20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11794C" w:rsidRPr="0005089B" w:rsidRDefault="00BB385B" w:rsidP="0005089B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385B">
        <w:rPr>
          <w:sz w:val="28"/>
          <w:szCs w:val="28"/>
        </w:rPr>
        <w:t xml:space="preserve">МУП «Липецкводоканал» </w:t>
      </w:r>
      <w:r w:rsidR="00A27608">
        <w:rPr>
          <w:sz w:val="28"/>
          <w:szCs w:val="28"/>
        </w:rPr>
        <w:t xml:space="preserve">в </w:t>
      </w:r>
      <w:r w:rsidR="00C508CB">
        <w:rPr>
          <w:sz w:val="28"/>
          <w:szCs w:val="28"/>
        </w:rPr>
        <w:t>сумме</w:t>
      </w:r>
      <w:r w:rsidR="00A27608">
        <w:rPr>
          <w:sz w:val="28"/>
          <w:szCs w:val="28"/>
        </w:rPr>
        <w:t xml:space="preserve"> </w:t>
      </w:r>
      <w:r w:rsidRPr="00BB385B">
        <w:rPr>
          <w:sz w:val="28"/>
          <w:szCs w:val="28"/>
        </w:rPr>
        <w:t xml:space="preserve">83,4 млн. рублей, в том числе просроченная </w:t>
      </w:r>
      <w:r w:rsidRPr="00F077DC">
        <w:rPr>
          <w:sz w:val="28"/>
          <w:szCs w:val="28"/>
        </w:rPr>
        <w:t xml:space="preserve">75,6 </w:t>
      </w:r>
      <w:r w:rsidR="00F7787B">
        <w:rPr>
          <w:sz w:val="28"/>
          <w:szCs w:val="28"/>
        </w:rPr>
        <w:t xml:space="preserve">млн. рублей </w:t>
      </w:r>
      <w:r w:rsidRPr="00BB385B">
        <w:rPr>
          <w:sz w:val="28"/>
          <w:szCs w:val="28"/>
        </w:rPr>
        <w:t xml:space="preserve">– задолженность АО «ЛГЭК» по договорам аренды имущества. </w:t>
      </w:r>
      <w:r w:rsidR="00F474F2">
        <w:rPr>
          <w:sz w:val="28"/>
          <w:szCs w:val="28"/>
        </w:rPr>
        <w:t xml:space="preserve">Ежемесячно от </w:t>
      </w:r>
      <w:r w:rsidR="00F474F2" w:rsidRPr="00F474F2">
        <w:rPr>
          <w:sz w:val="28"/>
          <w:szCs w:val="28"/>
        </w:rPr>
        <w:t>АО «ЛГЭК»</w:t>
      </w:r>
      <w:r w:rsidR="00F474F2">
        <w:rPr>
          <w:sz w:val="28"/>
          <w:szCs w:val="28"/>
        </w:rPr>
        <w:t xml:space="preserve"> поступают платежи в размере покрытия необходимых платежей предприятия (для выплаты заработной платы, оплаты налогов и сборов), однако в связи с увеличением арендной платы за сдачу имущества за счет заключения новых договоров, д</w:t>
      </w:r>
      <w:r w:rsidR="004F7015">
        <w:rPr>
          <w:sz w:val="28"/>
          <w:szCs w:val="28"/>
        </w:rPr>
        <w:t>ебиторская задолженность растет;</w:t>
      </w:r>
    </w:p>
    <w:p w:rsidR="0005089B" w:rsidRPr="0005089B" w:rsidRDefault="0005089B" w:rsidP="0005089B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089B">
        <w:rPr>
          <w:sz w:val="28"/>
          <w:szCs w:val="28"/>
        </w:rPr>
        <w:t xml:space="preserve">МУП «ЛиСА» в сумме 67,3 млн. рублей, из которой задолженность АО «ЛГЭК» 52,2 млн. рублей (в том числе просроченная 14,7 млн. рублей). </w:t>
      </w:r>
      <w:r w:rsidR="004F7015">
        <w:rPr>
          <w:sz w:val="28"/>
          <w:szCs w:val="28"/>
        </w:rPr>
        <w:t>Одной из причин о</w:t>
      </w:r>
      <w:r w:rsidRPr="0005089B">
        <w:rPr>
          <w:sz w:val="28"/>
          <w:szCs w:val="28"/>
        </w:rPr>
        <w:t>бразовани</w:t>
      </w:r>
      <w:r w:rsidR="004F7015">
        <w:rPr>
          <w:sz w:val="28"/>
          <w:szCs w:val="28"/>
        </w:rPr>
        <w:t>я</w:t>
      </w:r>
      <w:r w:rsidRPr="0005089B">
        <w:rPr>
          <w:sz w:val="28"/>
          <w:szCs w:val="28"/>
        </w:rPr>
        <w:t xml:space="preserve"> задолженности АО «ЛГЭК» </w:t>
      </w:r>
      <w:r w:rsidR="004F7015">
        <w:rPr>
          <w:sz w:val="28"/>
          <w:szCs w:val="28"/>
        </w:rPr>
        <w:t>является</w:t>
      </w:r>
      <w:r w:rsidRPr="0005089B">
        <w:rPr>
          <w:sz w:val="28"/>
          <w:szCs w:val="28"/>
        </w:rPr>
        <w:t xml:space="preserve"> выставление</w:t>
      </w:r>
      <w:r w:rsidR="004F7015">
        <w:rPr>
          <w:sz w:val="28"/>
          <w:szCs w:val="28"/>
        </w:rPr>
        <w:t xml:space="preserve"> </w:t>
      </w:r>
      <w:r w:rsidRPr="0005089B">
        <w:rPr>
          <w:sz w:val="28"/>
          <w:szCs w:val="28"/>
        </w:rPr>
        <w:t xml:space="preserve">счетов за проведение очистки сточных вод за 2015-2016 гг. согласно Решениям Арбитражного суда Липецкой области </w:t>
      </w:r>
      <w:r w:rsidR="004F7015">
        <w:rPr>
          <w:sz w:val="28"/>
          <w:szCs w:val="28"/>
        </w:rPr>
        <w:t>на</w:t>
      </w:r>
      <w:r w:rsidRPr="0005089B">
        <w:rPr>
          <w:sz w:val="28"/>
          <w:szCs w:val="28"/>
        </w:rPr>
        <w:t xml:space="preserve"> сумм</w:t>
      </w:r>
      <w:r w:rsidR="004F7015">
        <w:rPr>
          <w:sz w:val="28"/>
          <w:szCs w:val="28"/>
        </w:rPr>
        <w:t>у</w:t>
      </w:r>
      <w:r w:rsidRPr="0005089B">
        <w:rPr>
          <w:sz w:val="28"/>
          <w:szCs w:val="28"/>
        </w:rPr>
        <w:t xml:space="preserve"> 14,7 млн. рублей. Платежи по текущей задолженности АО «ЛГЭК» производит с задержкой в два м</w:t>
      </w:r>
      <w:r w:rsidR="004F7015">
        <w:rPr>
          <w:sz w:val="28"/>
          <w:szCs w:val="28"/>
        </w:rPr>
        <w:t>есяца, нарушая условия договора;</w:t>
      </w:r>
    </w:p>
    <w:p w:rsidR="0005089B" w:rsidRPr="0005089B" w:rsidRDefault="0005089B" w:rsidP="00C30B11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089B">
        <w:rPr>
          <w:sz w:val="28"/>
          <w:szCs w:val="28"/>
        </w:rPr>
        <w:t>МУП «АДС городского хозяйства» в сумме 64,1 млн. рублей – задолженность по оплате услуг за аварийное обслуживание с</w:t>
      </w:r>
      <w:r w:rsidR="004F7015">
        <w:rPr>
          <w:sz w:val="28"/>
          <w:szCs w:val="28"/>
        </w:rPr>
        <w:t>о стороны управляющих компаний;</w:t>
      </w:r>
    </w:p>
    <w:p w:rsidR="00F7787B" w:rsidRPr="00E23772" w:rsidRDefault="00F474F2" w:rsidP="00C30B11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3772">
        <w:rPr>
          <w:sz w:val="28"/>
          <w:szCs w:val="28"/>
        </w:rPr>
        <w:t xml:space="preserve">МУП «Липецктеплосеть» </w:t>
      </w:r>
      <w:r w:rsidR="00A27608" w:rsidRPr="00E23772">
        <w:rPr>
          <w:sz w:val="28"/>
          <w:szCs w:val="28"/>
        </w:rPr>
        <w:t xml:space="preserve">в </w:t>
      </w:r>
      <w:r w:rsidR="00C508CB" w:rsidRPr="00E23772">
        <w:rPr>
          <w:sz w:val="28"/>
          <w:szCs w:val="28"/>
        </w:rPr>
        <w:t xml:space="preserve">сумме </w:t>
      </w:r>
      <w:r w:rsidRPr="00E23772">
        <w:rPr>
          <w:sz w:val="28"/>
          <w:szCs w:val="28"/>
        </w:rPr>
        <w:t>49,3 млн. рублей,</w:t>
      </w:r>
      <w:r w:rsidR="00F7787B" w:rsidRPr="00E23772">
        <w:rPr>
          <w:sz w:val="28"/>
          <w:szCs w:val="28"/>
        </w:rPr>
        <w:t xml:space="preserve"> из которой 40,4 млн. рублей (</w:t>
      </w:r>
      <w:r w:rsidRPr="00E23772">
        <w:rPr>
          <w:sz w:val="28"/>
          <w:szCs w:val="28"/>
        </w:rPr>
        <w:t>в том числе просроченная 33,1 млн. рублей</w:t>
      </w:r>
      <w:r w:rsidR="00F7787B" w:rsidRPr="00E23772">
        <w:rPr>
          <w:sz w:val="28"/>
          <w:szCs w:val="28"/>
        </w:rPr>
        <w:t xml:space="preserve">) </w:t>
      </w:r>
      <w:r w:rsidRPr="00E23772">
        <w:rPr>
          <w:sz w:val="28"/>
          <w:szCs w:val="28"/>
        </w:rPr>
        <w:t>– задолженность АО «ЛГЭК</w:t>
      </w:r>
      <w:r w:rsidR="00F7787B" w:rsidRPr="00E23772">
        <w:rPr>
          <w:sz w:val="28"/>
          <w:szCs w:val="28"/>
        </w:rPr>
        <w:t>» по договорам аренды имущества</w:t>
      </w:r>
      <w:r w:rsidR="00E31E2D" w:rsidRPr="00E23772">
        <w:rPr>
          <w:sz w:val="28"/>
          <w:szCs w:val="28"/>
        </w:rPr>
        <w:t xml:space="preserve">. В настоящее время АО «ЛГЭК» разрабатывает </w:t>
      </w:r>
      <w:r w:rsidR="00E31E2D" w:rsidRPr="00E23772">
        <w:rPr>
          <w:sz w:val="28"/>
          <w:szCs w:val="28"/>
        </w:rPr>
        <w:lastRenderedPageBreak/>
        <w:t>график погашения задолженности до 01.12.2018.</w:t>
      </w:r>
      <w:r w:rsidR="00F7787B" w:rsidRPr="00E23772">
        <w:rPr>
          <w:sz w:val="28"/>
          <w:szCs w:val="28"/>
        </w:rPr>
        <w:t xml:space="preserve"> </w:t>
      </w:r>
      <w:r w:rsidR="00E31E2D" w:rsidRPr="00E23772">
        <w:rPr>
          <w:sz w:val="28"/>
          <w:szCs w:val="28"/>
        </w:rPr>
        <w:t>З</w:t>
      </w:r>
      <w:r w:rsidR="00F7787B" w:rsidRPr="00E23772">
        <w:rPr>
          <w:sz w:val="28"/>
          <w:szCs w:val="28"/>
        </w:rPr>
        <w:t>адолженность ПАО «КВАДРА»</w:t>
      </w:r>
      <w:r w:rsidR="00E31E2D" w:rsidRPr="00E23772">
        <w:rPr>
          <w:sz w:val="28"/>
          <w:szCs w:val="28"/>
        </w:rPr>
        <w:t xml:space="preserve"> в сумме</w:t>
      </w:r>
      <w:r w:rsidR="00F7787B" w:rsidRPr="00E23772">
        <w:rPr>
          <w:sz w:val="28"/>
          <w:szCs w:val="28"/>
        </w:rPr>
        <w:t xml:space="preserve"> </w:t>
      </w:r>
      <w:r w:rsidR="00E31E2D" w:rsidRPr="00E23772">
        <w:rPr>
          <w:sz w:val="28"/>
          <w:szCs w:val="28"/>
        </w:rPr>
        <w:t>6</w:t>
      </w:r>
      <w:r w:rsidR="00E31E2D" w:rsidRPr="00E23772">
        <w:t xml:space="preserve"> </w:t>
      </w:r>
      <w:r w:rsidR="00E31E2D" w:rsidRPr="00E23772">
        <w:rPr>
          <w:sz w:val="28"/>
          <w:szCs w:val="28"/>
        </w:rPr>
        <w:t>млн. рублей за аренду имущества – за декабрь 2017 г.</w:t>
      </w:r>
      <w:r w:rsidR="004F7015">
        <w:rPr>
          <w:sz w:val="28"/>
          <w:szCs w:val="28"/>
        </w:rPr>
        <w:t>;</w:t>
      </w:r>
    </w:p>
    <w:p w:rsidR="0011794C" w:rsidRDefault="0005089B" w:rsidP="00C30B11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3772">
        <w:rPr>
          <w:sz w:val="28"/>
          <w:szCs w:val="28"/>
        </w:rPr>
        <w:t xml:space="preserve">МУП «Второе ГЖУ» </w:t>
      </w:r>
      <w:r w:rsidR="001C7A5A" w:rsidRPr="00E23772">
        <w:rPr>
          <w:sz w:val="28"/>
          <w:szCs w:val="28"/>
        </w:rPr>
        <w:t xml:space="preserve">в сумме 21,3 млн. рублей, в том числе </w:t>
      </w:r>
      <w:proofErr w:type="gramStart"/>
      <w:r w:rsidR="001C7A5A" w:rsidRPr="00E23772">
        <w:rPr>
          <w:sz w:val="28"/>
          <w:szCs w:val="28"/>
        </w:rPr>
        <w:t>просроченная</w:t>
      </w:r>
      <w:proofErr w:type="gramEnd"/>
      <w:r w:rsidR="001C7A5A" w:rsidRPr="00E23772">
        <w:rPr>
          <w:sz w:val="28"/>
          <w:szCs w:val="28"/>
        </w:rPr>
        <w:t xml:space="preserve"> </w:t>
      </w:r>
      <w:r w:rsidR="004F7015">
        <w:rPr>
          <w:sz w:val="28"/>
          <w:szCs w:val="28"/>
        </w:rPr>
        <w:t xml:space="preserve">21,1 млн. рублей. </w:t>
      </w:r>
      <w:r w:rsidR="00C30B11">
        <w:rPr>
          <w:sz w:val="28"/>
          <w:szCs w:val="28"/>
        </w:rPr>
        <w:t xml:space="preserve">В настоящее время конкурсным управляющим ведется работа по взысканию задолженности, направляются претензии о погашении </w:t>
      </w:r>
      <w:r w:rsidR="00C30B11" w:rsidRPr="00C30B11">
        <w:rPr>
          <w:sz w:val="28"/>
          <w:szCs w:val="28"/>
        </w:rPr>
        <w:t>задолженности</w:t>
      </w:r>
      <w:r w:rsidR="00C30B11">
        <w:rPr>
          <w:sz w:val="28"/>
          <w:szCs w:val="28"/>
        </w:rPr>
        <w:t>.</w:t>
      </w:r>
    </w:p>
    <w:p w:rsidR="002E712A" w:rsidRDefault="002E712A" w:rsidP="002E71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A2462">
        <w:rPr>
          <w:sz w:val="28"/>
          <w:szCs w:val="28"/>
        </w:rPr>
        <w:t xml:space="preserve">Наибольшую долю в структуре дебиторской задолженности предприятий по состоянию на 01.01.2018 составляет задолженность покупателей и заказчиков (76%). Высокое значение данного показателя наблюдается в МУП «ЛиСА» (98%), МУП «Липецкводоканал» (99,8% всей задолженности), МУП «АДС городского хозяйства». </w:t>
      </w:r>
    </w:p>
    <w:p w:rsidR="004A2462" w:rsidRPr="004A2462" w:rsidRDefault="004A2462" w:rsidP="002E712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B70DF" w:rsidRDefault="002E712A" w:rsidP="00F01305">
      <w:pPr>
        <w:ind w:firstLine="709"/>
        <w:jc w:val="both"/>
        <w:rPr>
          <w:color w:val="FF0000"/>
          <w:sz w:val="28"/>
          <w:szCs w:val="28"/>
        </w:rPr>
      </w:pPr>
      <w:r w:rsidRPr="00C916AB">
        <w:rPr>
          <w:noProof/>
          <w:sz w:val="28"/>
          <w:szCs w:val="28"/>
        </w:rPr>
        <w:drawing>
          <wp:inline distT="0" distB="0" distL="0" distR="0" wp14:anchorId="54517B7D" wp14:editId="54FB3B68">
            <wp:extent cx="5348378" cy="1958196"/>
            <wp:effectExtent l="0" t="0" r="5080" b="444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2462" w:rsidRDefault="004A2462" w:rsidP="004A2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</w:t>
      </w:r>
      <w:r w:rsidRPr="00BB70DF">
        <w:rPr>
          <w:sz w:val="28"/>
          <w:szCs w:val="28"/>
        </w:rPr>
        <w:t xml:space="preserve"> соотношени</w:t>
      </w:r>
      <w:r>
        <w:rPr>
          <w:sz w:val="28"/>
          <w:szCs w:val="28"/>
        </w:rPr>
        <w:t>я</w:t>
      </w:r>
      <w:r w:rsidRPr="00BB70DF">
        <w:rPr>
          <w:sz w:val="28"/>
          <w:szCs w:val="28"/>
        </w:rPr>
        <w:t xml:space="preserve"> дебиторской и кредиторской задолженности п</w:t>
      </w:r>
      <w:r>
        <w:rPr>
          <w:sz w:val="28"/>
          <w:szCs w:val="28"/>
        </w:rPr>
        <w:t xml:space="preserve">редприятий, превышение оптимального соотношения, равного 1, наблюдается в МУП «Горэлектросеть» г. Липецка (значение коэффициента 21),  </w:t>
      </w:r>
      <w:r w:rsidRPr="00BB70DF">
        <w:rPr>
          <w:sz w:val="28"/>
          <w:szCs w:val="28"/>
        </w:rPr>
        <w:t>«</w:t>
      </w:r>
      <w:r>
        <w:rPr>
          <w:sz w:val="28"/>
          <w:szCs w:val="28"/>
        </w:rPr>
        <w:t>Липецктепл</w:t>
      </w:r>
      <w:r w:rsidRPr="00BB70DF">
        <w:rPr>
          <w:sz w:val="28"/>
          <w:szCs w:val="28"/>
        </w:rPr>
        <w:t>осеть»</w:t>
      </w:r>
      <w:r>
        <w:rPr>
          <w:sz w:val="28"/>
          <w:szCs w:val="28"/>
        </w:rPr>
        <w:t xml:space="preserve"> (13),</w:t>
      </w:r>
      <w:r w:rsidRPr="00BB70DF">
        <w:t xml:space="preserve"> </w:t>
      </w:r>
      <w:r w:rsidRPr="00BB70DF">
        <w:rPr>
          <w:sz w:val="28"/>
          <w:szCs w:val="28"/>
        </w:rPr>
        <w:t>«</w:t>
      </w:r>
      <w:r>
        <w:rPr>
          <w:sz w:val="28"/>
          <w:szCs w:val="28"/>
        </w:rPr>
        <w:t>Липецкводоканал</w:t>
      </w:r>
      <w:r w:rsidRPr="00BB70DF">
        <w:rPr>
          <w:sz w:val="28"/>
          <w:szCs w:val="28"/>
        </w:rPr>
        <w:t>»</w:t>
      </w:r>
      <w:r>
        <w:rPr>
          <w:sz w:val="28"/>
          <w:szCs w:val="28"/>
        </w:rPr>
        <w:t xml:space="preserve"> (9) из-за значительного размера дебиторской задолженности </w:t>
      </w:r>
      <w:r w:rsidRPr="00BB70DF">
        <w:rPr>
          <w:sz w:val="28"/>
          <w:szCs w:val="28"/>
        </w:rPr>
        <w:t>АО «ЛГЭК» по договорам аренды имущества</w:t>
      </w:r>
      <w:r>
        <w:rPr>
          <w:sz w:val="28"/>
          <w:szCs w:val="28"/>
        </w:rPr>
        <w:t xml:space="preserve">, </w:t>
      </w:r>
      <w:r w:rsidRPr="00BB70DF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влечет за собой </w:t>
      </w:r>
      <w:r w:rsidRPr="00BB70DF">
        <w:rPr>
          <w:sz w:val="28"/>
          <w:szCs w:val="28"/>
        </w:rPr>
        <w:t xml:space="preserve"> отвлечение денежны</w:t>
      </w:r>
      <w:r>
        <w:rPr>
          <w:sz w:val="28"/>
          <w:szCs w:val="28"/>
        </w:rPr>
        <w:t>х средств из оборота предприятий.</w:t>
      </w:r>
    </w:p>
    <w:p w:rsidR="004A2462" w:rsidRPr="002E712A" w:rsidRDefault="004A2462" w:rsidP="004A2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 ниже оптимального наблюдается в МУП «РВЦЛ» (0,1), </w:t>
      </w:r>
      <w:r w:rsidRPr="00607A9E">
        <w:rPr>
          <w:sz w:val="28"/>
          <w:szCs w:val="28"/>
        </w:rPr>
        <w:t>«Липецкая городская транспортная компания»</w:t>
      </w:r>
      <w:r>
        <w:rPr>
          <w:sz w:val="28"/>
          <w:szCs w:val="28"/>
        </w:rPr>
        <w:t xml:space="preserve"> (0,1), «БПХ» (0,3), </w:t>
      </w:r>
      <w:r w:rsidRPr="00607A9E">
        <w:rPr>
          <w:sz w:val="28"/>
          <w:szCs w:val="28"/>
        </w:rPr>
        <w:t>«Липецкпассажиртранс»</w:t>
      </w:r>
      <w:r>
        <w:rPr>
          <w:sz w:val="28"/>
          <w:szCs w:val="28"/>
        </w:rPr>
        <w:t xml:space="preserve"> (0,5), что </w:t>
      </w:r>
      <w:r w:rsidRPr="00607A9E">
        <w:rPr>
          <w:sz w:val="28"/>
          <w:szCs w:val="28"/>
        </w:rPr>
        <w:t>создает угрозу финансовому положению предприяти</w:t>
      </w:r>
      <w:r>
        <w:rPr>
          <w:sz w:val="28"/>
          <w:szCs w:val="28"/>
        </w:rPr>
        <w:t>й</w:t>
      </w:r>
      <w:r w:rsidRPr="00607A9E">
        <w:rPr>
          <w:sz w:val="28"/>
          <w:szCs w:val="28"/>
        </w:rPr>
        <w:t xml:space="preserve"> </w:t>
      </w:r>
      <w:r w:rsidR="00403D06">
        <w:rPr>
          <w:sz w:val="28"/>
          <w:szCs w:val="28"/>
        </w:rPr>
        <w:t xml:space="preserve">из-за </w:t>
      </w:r>
      <w:r w:rsidRPr="00607A9E">
        <w:rPr>
          <w:sz w:val="28"/>
          <w:szCs w:val="28"/>
        </w:rPr>
        <w:t xml:space="preserve">невозможности погашения своих обязательств </w:t>
      </w:r>
      <w:r w:rsidR="00403D06">
        <w:rPr>
          <w:sz w:val="28"/>
          <w:szCs w:val="28"/>
        </w:rPr>
        <w:t xml:space="preserve">по причине </w:t>
      </w:r>
      <w:r w:rsidRPr="00607A9E">
        <w:rPr>
          <w:sz w:val="28"/>
          <w:szCs w:val="28"/>
        </w:rPr>
        <w:t>отсутствия средств</w:t>
      </w:r>
      <w:r>
        <w:rPr>
          <w:sz w:val="28"/>
          <w:szCs w:val="28"/>
        </w:rPr>
        <w:t xml:space="preserve">. </w:t>
      </w:r>
      <w:r w:rsidRPr="002E712A">
        <w:rPr>
          <w:sz w:val="28"/>
          <w:szCs w:val="28"/>
        </w:rPr>
        <w:t>При этом задолженность МУП «Липецкая городская транспортная компания» перед прочими кредиторами в сумме 14 млн. рублей погашена в 1 квартале 2018 года</w:t>
      </w:r>
      <w:r>
        <w:rPr>
          <w:sz w:val="28"/>
          <w:szCs w:val="28"/>
        </w:rPr>
        <w:t>.</w:t>
      </w:r>
    </w:p>
    <w:p w:rsidR="00400BAD" w:rsidRDefault="00F01305" w:rsidP="00F01305">
      <w:pPr>
        <w:ind w:firstLine="709"/>
        <w:jc w:val="both"/>
        <w:rPr>
          <w:sz w:val="28"/>
          <w:szCs w:val="28"/>
        </w:rPr>
      </w:pPr>
      <w:r w:rsidRPr="002E712A">
        <w:rPr>
          <w:sz w:val="28"/>
          <w:szCs w:val="28"/>
        </w:rPr>
        <w:t>По результатам мониторинга д</w:t>
      </w:r>
      <w:r w:rsidR="00400BAD" w:rsidRPr="002E712A">
        <w:rPr>
          <w:sz w:val="28"/>
          <w:szCs w:val="28"/>
        </w:rPr>
        <w:t xml:space="preserve">епартамент экономического развития рекомендует департаментам, </w:t>
      </w:r>
      <w:r w:rsidR="00400BAD" w:rsidRPr="002E712A">
        <w:rPr>
          <w:spacing w:val="-6"/>
          <w:sz w:val="28"/>
          <w:szCs w:val="28"/>
        </w:rPr>
        <w:t>исполняющим функции и полномочия учредителя</w:t>
      </w:r>
      <w:r w:rsidR="00400BAD" w:rsidRPr="002E712A">
        <w:rPr>
          <w:sz w:val="28"/>
          <w:szCs w:val="28"/>
        </w:rPr>
        <w:t>:</w:t>
      </w:r>
    </w:p>
    <w:p w:rsidR="00566378" w:rsidRPr="00251700" w:rsidRDefault="00E94C2D" w:rsidP="00251700">
      <w:pPr>
        <w:pStyle w:val="af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51700">
        <w:rPr>
          <w:sz w:val="28"/>
          <w:szCs w:val="28"/>
        </w:rPr>
        <w:t>МУП «Горэлектросеть» г. Липецка, МУП «Липецктеплосеть», МУП «Липецкводоканал»</w:t>
      </w:r>
      <w:r w:rsidR="008A51A5" w:rsidRPr="00251700">
        <w:rPr>
          <w:sz w:val="28"/>
          <w:szCs w:val="28"/>
        </w:rPr>
        <w:t xml:space="preserve"> </w:t>
      </w:r>
      <w:r w:rsidR="009534C1" w:rsidRPr="00251700">
        <w:rPr>
          <w:sz w:val="28"/>
          <w:szCs w:val="28"/>
        </w:rPr>
        <w:t>-</w:t>
      </w:r>
      <w:r w:rsidR="008A51A5" w:rsidRPr="00251700">
        <w:rPr>
          <w:sz w:val="28"/>
          <w:szCs w:val="28"/>
        </w:rPr>
        <w:t xml:space="preserve"> </w:t>
      </w:r>
      <w:r w:rsidR="00251700" w:rsidRPr="00251700">
        <w:rPr>
          <w:sz w:val="28"/>
          <w:szCs w:val="28"/>
        </w:rPr>
        <w:t>до 01.08.2018 представить в департамент экономического развития мероприяти</w:t>
      </w:r>
      <w:r w:rsidR="00E058B6">
        <w:rPr>
          <w:sz w:val="28"/>
          <w:szCs w:val="28"/>
        </w:rPr>
        <w:t>я</w:t>
      </w:r>
      <w:r w:rsidR="00251700" w:rsidRPr="00251700">
        <w:rPr>
          <w:sz w:val="28"/>
          <w:szCs w:val="28"/>
        </w:rPr>
        <w:t xml:space="preserve"> по снижению дебиторской задолженности со стороны АО «ЛГЭК».</w:t>
      </w:r>
    </w:p>
    <w:p w:rsidR="00E94C2D" w:rsidRDefault="00BA4FB4" w:rsidP="00E94C2D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«БПХ» - до 01.08.2018 представить в департамент экономиче</w:t>
      </w:r>
      <w:r w:rsidR="009534C1">
        <w:rPr>
          <w:sz w:val="28"/>
          <w:szCs w:val="28"/>
        </w:rPr>
        <w:t>ского развития мероприяти</w:t>
      </w:r>
      <w:r w:rsidR="00EB2F67">
        <w:rPr>
          <w:sz w:val="28"/>
          <w:szCs w:val="28"/>
        </w:rPr>
        <w:t>я</w:t>
      </w:r>
      <w:r w:rsidR="009534C1">
        <w:rPr>
          <w:sz w:val="28"/>
          <w:szCs w:val="28"/>
        </w:rPr>
        <w:t xml:space="preserve"> </w:t>
      </w:r>
      <w:r>
        <w:rPr>
          <w:sz w:val="28"/>
          <w:szCs w:val="28"/>
        </w:rPr>
        <w:t>по снижению дебиторской и кредиторской задолженности</w:t>
      </w:r>
      <w:r w:rsidR="002A2CA9">
        <w:rPr>
          <w:sz w:val="28"/>
          <w:szCs w:val="28"/>
        </w:rPr>
        <w:t>, в т.ч. просроченной,</w:t>
      </w:r>
      <w:r>
        <w:rPr>
          <w:sz w:val="28"/>
          <w:szCs w:val="28"/>
        </w:rPr>
        <w:t xml:space="preserve"> на 2018 год.</w:t>
      </w:r>
    </w:p>
    <w:p w:rsidR="00BA4FB4" w:rsidRDefault="00BA4FB4" w:rsidP="00BA4FB4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4FB4">
        <w:rPr>
          <w:sz w:val="28"/>
          <w:szCs w:val="28"/>
        </w:rPr>
        <w:lastRenderedPageBreak/>
        <w:t>МУП «</w:t>
      </w:r>
      <w:r>
        <w:rPr>
          <w:sz w:val="28"/>
          <w:szCs w:val="28"/>
        </w:rPr>
        <w:t>РВЦЛ</w:t>
      </w:r>
      <w:r w:rsidRPr="00BA4FB4">
        <w:rPr>
          <w:sz w:val="28"/>
          <w:szCs w:val="28"/>
        </w:rPr>
        <w:t>»</w:t>
      </w:r>
      <w:r>
        <w:rPr>
          <w:sz w:val="28"/>
          <w:szCs w:val="28"/>
        </w:rPr>
        <w:t xml:space="preserve"> - до 28.12.2018 обеспечить выполнение мероприятий по ликвидации МУП.</w:t>
      </w:r>
    </w:p>
    <w:p w:rsidR="00602067" w:rsidRPr="006B2992" w:rsidRDefault="00BA4FB4" w:rsidP="006B2992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2992">
        <w:rPr>
          <w:sz w:val="28"/>
          <w:szCs w:val="28"/>
        </w:rPr>
        <w:t>МУП «Липецкпассажиртранс»</w:t>
      </w:r>
      <w:r w:rsidR="006B2992" w:rsidRPr="006B2992">
        <w:rPr>
          <w:sz w:val="28"/>
          <w:szCs w:val="28"/>
        </w:rPr>
        <w:t xml:space="preserve"> - до 01.08.2018 представить в департамент экономического развития план мероприятий по снижению дебиторской и кредито</w:t>
      </w:r>
      <w:r w:rsidR="006B2992">
        <w:rPr>
          <w:sz w:val="28"/>
          <w:szCs w:val="28"/>
        </w:rPr>
        <w:t>рской задолженности на 2018 год</w:t>
      </w:r>
      <w:r w:rsidR="006B2992" w:rsidRPr="006B2992">
        <w:rPr>
          <w:sz w:val="28"/>
          <w:szCs w:val="28"/>
        </w:rPr>
        <w:t>;</w:t>
      </w:r>
    </w:p>
    <w:p w:rsidR="00316A29" w:rsidRPr="00316A29" w:rsidRDefault="00400BAD" w:rsidP="00316A29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067">
        <w:rPr>
          <w:sz w:val="28"/>
          <w:szCs w:val="28"/>
        </w:rPr>
        <w:t xml:space="preserve">Установить контроль своевременности погашения контрагентами </w:t>
      </w:r>
      <w:r w:rsidRPr="00602067">
        <w:rPr>
          <w:spacing w:val="6"/>
          <w:sz w:val="28"/>
          <w:szCs w:val="28"/>
        </w:rPr>
        <w:t>дебиторской задолженности, что позволит увеличить поток денежных средств и обеспечит</w:t>
      </w:r>
      <w:r w:rsidR="00316A29">
        <w:rPr>
          <w:spacing w:val="6"/>
          <w:sz w:val="28"/>
          <w:szCs w:val="28"/>
        </w:rPr>
        <w:t xml:space="preserve"> </w:t>
      </w:r>
      <w:r w:rsidRPr="00602067">
        <w:rPr>
          <w:spacing w:val="6"/>
          <w:sz w:val="28"/>
          <w:szCs w:val="28"/>
        </w:rPr>
        <w:t>погашение текущих и просроченных обязательств</w:t>
      </w:r>
      <w:r w:rsidR="00316A29">
        <w:rPr>
          <w:spacing w:val="6"/>
          <w:sz w:val="28"/>
          <w:szCs w:val="28"/>
        </w:rPr>
        <w:t>.</w:t>
      </w:r>
    </w:p>
    <w:p w:rsidR="00316A29" w:rsidRPr="00316A29" w:rsidRDefault="00400BAD" w:rsidP="00316A29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6A29">
        <w:rPr>
          <w:spacing w:val="6"/>
          <w:sz w:val="28"/>
          <w:szCs w:val="28"/>
        </w:rPr>
        <w:t>С целью исключения искажения бухгалтерской отчетности</w:t>
      </w:r>
      <w:r w:rsidR="00316A29">
        <w:rPr>
          <w:spacing w:val="6"/>
          <w:sz w:val="28"/>
          <w:szCs w:val="28"/>
        </w:rPr>
        <w:t xml:space="preserve"> </w:t>
      </w:r>
      <w:r w:rsidRPr="00316A29">
        <w:rPr>
          <w:spacing w:val="-6"/>
          <w:sz w:val="28"/>
          <w:szCs w:val="28"/>
        </w:rPr>
        <w:t xml:space="preserve">своевременно списывать просроченные обязательства </w:t>
      </w:r>
      <w:r w:rsidRPr="00316A29">
        <w:rPr>
          <w:spacing w:val="6"/>
          <w:sz w:val="28"/>
          <w:szCs w:val="28"/>
        </w:rPr>
        <w:t>МУП в случае истечения сроков исковой давности, определенных гражданским законодательством Российской Федерации.</w:t>
      </w:r>
    </w:p>
    <w:p w:rsidR="005544A0" w:rsidRPr="00316A29" w:rsidRDefault="000863A9" w:rsidP="00316A29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6A29">
        <w:rPr>
          <w:spacing w:val="6"/>
          <w:sz w:val="28"/>
          <w:szCs w:val="28"/>
        </w:rPr>
        <w:t>Следить за соотношением дебиторской и кредиторской задолженности</w:t>
      </w:r>
      <w:r w:rsidR="00602067" w:rsidRPr="00316A29">
        <w:rPr>
          <w:spacing w:val="6"/>
          <w:sz w:val="28"/>
          <w:szCs w:val="28"/>
        </w:rPr>
        <w:t xml:space="preserve">. </w:t>
      </w:r>
    </w:p>
    <w:p w:rsidR="005544A0" w:rsidRDefault="005544A0" w:rsidP="00C916AB">
      <w:pPr>
        <w:jc w:val="both"/>
        <w:rPr>
          <w:sz w:val="28"/>
          <w:szCs w:val="28"/>
        </w:rPr>
      </w:pPr>
    </w:p>
    <w:p w:rsidR="005544A0" w:rsidRDefault="005544A0" w:rsidP="00C916AB">
      <w:pPr>
        <w:jc w:val="both"/>
        <w:rPr>
          <w:sz w:val="28"/>
          <w:szCs w:val="28"/>
        </w:rPr>
      </w:pPr>
    </w:p>
    <w:p w:rsidR="005544A0" w:rsidRDefault="005544A0" w:rsidP="00C916AB">
      <w:pPr>
        <w:jc w:val="both"/>
        <w:rPr>
          <w:sz w:val="28"/>
          <w:szCs w:val="28"/>
        </w:rPr>
      </w:pPr>
    </w:p>
    <w:p w:rsidR="005544A0" w:rsidRDefault="005544A0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E058B6" w:rsidRDefault="00E058B6" w:rsidP="00C916AB">
      <w:pPr>
        <w:jc w:val="both"/>
        <w:rPr>
          <w:sz w:val="28"/>
          <w:szCs w:val="28"/>
        </w:rPr>
      </w:pPr>
    </w:p>
    <w:p w:rsidR="005544A0" w:rsidRPr="005544A0" w:rsidRDefault="005544A0" w:rsidP="005544A0">
      <w:pPr>
        <w:jc w:val="both"/>
      </w:pPr>
      <w:r w:rsidRPr="005544A0">
        <w:t>Бурцева Наталья Геннадьевна</w:t>
      </w:r>
    </w:p>
    <w:p w:rsidR="005544A0" w:rsidRPr="005544A0" w:rsidRDefault="005544A0" w:rsidP="005544A0">
      <w:pPr>
        <w:jc w:val="both"/>
      </w:pPr>
      <w:r w:rsidRPr="005544A0">
        <w:t>23-91-14</w:t>
      </w:r>
    </w:p>
    <w:sectPr w:rsidR="005544A0" w:rsidRPr="005544A0" w:rsidSect="00327D49">
      <w:headerReference w:type="even" r:id="rId13"/>
      <w:headerReference w:type="default" r:id="rId14"/>
      <w:pgSz w:w="11906" w:h="16838" w:code="9"/>
      <w:pgMar w:top="1134" w:right="567" w:bottom="1134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89" w:rsidRDefault="00603A89">
      <w:r>
        <w:separator/>
      </w:r>
    </w:p>
  </w:endnote>
  <w:endnote w:type="continuationSeparator" w:id="0">
    <w:p w:rsidR="00603A89" w:rsidRDefault="0060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89" w:rsidRDefault="00603A89">
      <w:r>
        <w:separator/>
      </w:r>
    </w:p>
  </w:footnote>
  <w:footnote w:type="continuationSeparator" w:id="0">
    <w:p w:rsidR="00603A89" w:rsidRDefault="0060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2B" w:rsidRDefault="00B03A2B" w:rsidP="00826C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754D">
      <w:rPr>
        <w:rStyle w:val="a5"/>
        <w:noProof/>
      </w:rPr>
      <w:t>2</w:t>
    </w:r>
    <w:r>
      <w:rPr>
        <w:rStyle w:val="a5"/>
      </w:rPr>
      <w:fldChar w:fldCharType="end"/>
    </w:r>
  </w:p>
  <w:p w:rsidR="00B03A2B" w:rsidRDefault="00B03A2B" w:rsidP="00826C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2D" w:rsidRDefault="002D45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754D">
      <w:rPr>
        <w:noProof/>
      </w:rPr>
      <w:t>5</w:t>
    </w:r>
    <w:r>
      <w:fldChar w:fldCharType="end"/>
    </w:r>
  </w:p>
  <w:p w:rsidR="00B03A2B" w:rsidRDefault="00B03A2B" w:rsidP="00826C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69C"/>
    <w:multiLevelType w:val="hybridMultilevel"/>
    <w:tmpl w:val="E982A65A"/>
    <w:lvl w:ilvl="0" w:tplc="DE526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A641A"/>
    <w:multiLevelType w:val="hybridMultilevel"/>
    <w:tmpl w:val="72909C1C"/>
    <w:lvl w:ilvl="0" w:tplc="96048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356F4C"/>
    <w:multiLevelType w:val="hybridMultilevel"/>
    <w:tmpl w:val="24C86A58"/>
    <w:lvl w:ilvl="0" w:tplc="F2A40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EC5F4A"/>
    <w:multiLevelType w:val="hybridMultilevel"/>
    <w:tmpl w:val="3C3642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752D81"/>
    <w:multiLevelType w:val="hybridMultilevel"/>
    <w:tmpl w:val="FC249906"/>
    <w:lvl w:ilvl="0" w:tplc="96048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4119E3"/>
    <w:multiLevelType w:val="hybridMultilevel"/>
    <w:tmpl w:val="83AA7E84"/>
    <w:lvl w:ilvl="0" w:tplc="5EA45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F4"/>
    <w:rsid w:val="000021DF"/>
    <w:rsid w:val="00003D00"/>
    <w:rsid w:val="000073BB"/>
    <w:rsid w:val="00007E3D"/>
    <w:rsid w:val="000111AA"/>
    <w:rsid w:val="00011221"/>
    <w:rsid w:val="0001199D"/>
    <w:rsid w:val="00014360"/>
    <w:rsid w:val="00014AEF"/>
    <w:rsid w:val="00021687"/>
    <w:rsid w:val="00021EB6"/>
    <w:rsid w:val="00022B6D"/>
    <w:rsid w:val="000238EA"/>
    <w:rsid w:val="00023B34"/>
    <w:rsid w:val="000255F0"/>
    <w:rsid w:val="00025CC4"/>
    <w:rsid w:val="0002706B"/>
    <w:rsid w:val="000307FD"/>
    <w:rsid w:val="0003209F"/>
    <w:rsid w:val="000332E9"/>
    <w:rsid w:val="00034C01"/>
    <w:rsid w:val="00037EF9"/>
    <w:rsid w:val="000403A7"/>
    <w:rsid w:val="00042775"/>
    <w:rsid w:val="00042D6D"/>
    <w:rsid w:val="00043915"/>
    <w:rsid w:val="0005089B"/>
    <w:rsid w:val="0005654E"/>
    <w:rsid w:val="0006451C"/>
    <w:rsid w:val="00064EFA"/>
    <w:rsid w:val="000650BC"/>
    <w:rsid w:val="00071BF9"/>
    <w:rsid w:val="00071FA8"/>
    <w:rsid w:val="0007328F"/>
    <w:rsid w:val="0007354D"/>
    <w:rsid w:val="00074885"/>
    <w:rsid w:val="000750A2"/>
    <w:rsid w:val="000752BF"/>
    <w:rsid w:val="000756EF"/>
    <w:rsid w:val="00075A19"/>
    <w:rsid w:val="00076632"/>
    <w:rsid w:val="00077187"/>
    <w:rsid w:val="000771C6"/>
    <w:rsid w:val="00080CF7"/>
    <w:rsid w:val="00084321"/>
    <w:rsid w:val="00085B9A"/>
    <w:rsid w:val="000863A9"/>
    <w:rsid w:val="000872E1"/>
    <w:rsid w:val="00087D03"/>
    <w:rsid w:val="000903D0"/>
    <w:rsid w:val="000909E7"/>
    <w:rsid w:val="00093569"/>
    <w:rsid w:val="00095D50"/>
    <w:rsid w:val="000A6582"/>
    <w:rsid w:val="000B0224"/>
    <w:rsid w:val="000B2FF3"/>
    <w:rsid w:val="000B344B"/>
    <w:rsid w:val="000B3E06"/>
    <w:rsid w:val="000B4BE8"/>
    <w:rsid w:val="000B7FE1"/>
    <w:rsid w:val="000C15BC"/>
    <w:rsid w:val="000C4C32"/>
    <w:rsid w:val="000C5126"/>
    <w:rsid w:val="000C70E1"/>
    <w:rsid w:val="000C7B79"/>
    <w:rsid w:val="000D2355"/>
    <w:rsid w:val="000D5A3C"/>
    <w:rsid w:val="000D5FE6"/>
    <w:rsid w:val="000D69D0"/>
    <w:rsid w:val="000D6EEF"/>
    <w:rsid w:val="000E13FF"/>
    <w:rsid w:val="000E211B"/>
    <w:rsid w:val="000E34B2"/>
    <w:rsid w:val="000E7370"/>
    <w:rsid w:val="000F3C44"/>
    <w:rsid w:val="000F54BD"/>
    <w:rsid w:val="000F7A02"/>
    <w:rsid w:val="00104197"/>
    <w:rsid w:val="00106C49"/>
    <w:rsid w:val="001079C9"/>
    <w:rsid w:val="00107BD1"/>
    <w:rsid w:val="001101D1"/>
    <w:rsid w:val="0011589B"/>
    <w:rsid w:val="0011794C"/>
    <w:rsid w:val="00117DEF"/>
    <w:rsid w:val="00120FA4"/>
    <w:rsid w:val="001211BA"/>
    <w:rsid w:val="00121C84"/>
    <w:rsid w:val="001259B7"/>
    <w:rsid w:val="001307FB"/>
    <w:rsid w:val="00130958"/>
    <w:rsid w:val="00137645"/>
    <w:rsid w:val="001378DA"/>
    <w:rsid w:val="00140ACA"/>
    <w:rsid w:val="00143021"/>
    <w:rsid w:val="001435A7"/>
    <w:rsid w:val="00143A4D"/>
    <w:rsid w:val="001459DF"/>
    <w:rsid w:val="0014640F"/>
    <w:rsid w:val="00147A4E"/>
    <w:rsid w:val="00147F84"/>
    <w:rsid w:val="00151379"/>
    <w:rsid w:val="001539E3"/>
    <w:rsid w:val="00153EFE"/>
    <w:rsid w:val="0015435C"/>
    <w:rsid w:val="0015774A"/>
    <w:rsid w:val="001603F8"/>
    <w:rsid w:val="00161654"/>
    <w:rsid w:val="00165FB1"/>
    <w:rsid w:val="00170264"/>
    <w:rsid w:val="00173AD0"/>
    <w:rsid w:val="00174162"/>
    <w:rsid w:val="00174520"/>
    <w:rsid w:val="001773B9"/>
    <w:rsid w:val="00180C3A"/>
    <w:rsid w:val="00184444"/>
    <w:rsid w:val="001859AF"/>
    <w:rsid w:val="00191312"/>
    <w:rsid w:val="00191CEA"/>
    <w:rsid w:val="001A2300"/>
    <w:rsid w:val="001A655D"/>
    <w:rsid w:val="001A7D0D"/>
    <w:rsid w:val="001B0AC4"/>
    <w:rsid w:val="001B17D2"/>
    <w:rsid w:val="001B334E"/>
    <w:rsid w:val="001B397A"/>
    <w:rsid w:val="001B4E21"/>
    <w:rsid w:val="001B5E89"/>
    <w:rsid w:val="001B5FAC"/>
    <w:rsid w:val="001C0445"/>
    <w:rsid w:val="001C0780"/>
    <w:rsid w:val="001C0EE8"/>
    <w:rsid w:val="001C1FC9"/>
    <w:rsid w:val="001C4F34"/>
    <w:rsid w:val="001C67FB"/>
    <w:rsid w:val="001C7A5A"/>
    <w:rsid w:val="001D09C5"/>
    <w:rsid w:val="001D1DF0"/>
    <w:rsid w:val="001D28DC"/>
    <w:rsid w:val="001D2A5B"/>
    <w:rsid w:val="001D2A73"/>
    <w:rsid w:val="001D3EBE"/>
    <w:rsid w:val="001D56AD"/>
    <w:rsid w:val="001D604C"/>
    <w:rsid w:val="001D6F10"/>
    <w:rsid w:val="001D70AF"/>
    <w:rsid w:val="001D7FCB"/>
    <w:rsid w:val="001E7C80"/>
    <w:rsid w:val="001F24FC"/>
    <w:rsid w:val="001F3DD5"/>
    <w:rsid w:val="001F48A2"/>
    <w:rsid w:val="00200224"/>
    <w:rsid w:val="00201994"/>
    <w:rsid w:val="002022A9"/>
    <w:rsid w:val="00203ADB"/>
    <w:rsid w:val="002044EC"/>
    <w:rsid w:val="00204782"/>
    <w:rsid w:val="00207C55"/>
    <w:rsid w:val="00212208"/>
    <w:rsid w:val="002143C7"/>
    <w:rsid w:val="0022020A"/>
    <w:rsid w:val="002202C3"/>
    <w:rsid w:val="0022040D"/>
    <w:rsid w:val="002225BA"/>
    <w:rsid w:val="00226812"/>
    <w:rsid w:val="002271EB"/>
    <w:rsid w:val="00230A59"/>
    <w:rsid w:val="00233DE1"/>
    <w:rsid w:val="002358A1"/>
    <w:rsid w:val="00235E1D"/>
    <w:rsid w:val="002377EE"/>
    <w:rsid w:val="00237AB5"/>
    <w:rsid w:val="0024002C"/>
    <w:rsid w:val="0024320E"/>
    <w:rsid w:val="00244859"/>
    <w:rsid w:val="00246403"/>
    <w:rsid w:val="00246790"/>
    <w:rsid w:val="00247D17"/>
    <w:rsid w:val="00247D77"/>
    <w:rsid w:val="00251700"/>
    <w:rsid w:val="0025231E"/>
    <w:rsid w:val="00252551"/>
    <w:rsid w:val="0025377B"/>
    <w:rsid w:val="0025450C"/>
    <w:rsid w:val="00255142"/>
    <w:rsid w:val="0026226F"/>
    <w:rsid w:val="00262A81"/>
    <w:rsid w:val="002638FC"/>
    <w:rsid w:val="00265C8C"/>
    <w:rsid w:val="002660DE"/>
    <w:rsid w:val="00266635"/>
    <w:rsid w:val="002675C1"/>
    <w:rsid w:val="00267EF1"/>
    <w:rsid w:val="00270C22"/>
    <w:rsid w:val="002714D3"/>
    <w:rsid w:val="00273349"/>
    <w:rsid w:val="00277575"/>
    <w:rsid w:val="00283733"/>
    <w:rsid w:val="002859F5"/>
    <w:rsid w:val="00286676"/>
    <w:rsid w:val="0029504C"/>
    <w:rsid w:val="00295F68"/>
    <w:rsid w:val="002A0277"/>
    <w:rsid w:val="002A0316"/>
    <w:rsid w:val="002A042C"/>
    <w:rsid w:val="002A2CA9"/>
    <w:rsid w:val="002A3C33"/>
    <w:rsid w:val="002A4CD2"/>
    <w:rsid w:val="002A6A32"/>
    <w:rsid w:val="002A6E22"/>
    <w:rsid w:val="002B24F5"/>
    <w:rsid w:val="002B5B10"/>
    <w:rsid w:val="002B706A"/>
    <w:rsid w:val="002C081B"/>
    <w:rsid w:val="002C0ABD"/>
    <w:rsid w:val="002C3819"/>
    <w:rsid w:val="002C4165"/>
    <w:rsid w:val="002C639A"/>
    <w:rsid w:val="002C64FE"/>
    <w:rsid w:val="002D1B64"/>
    <w:rsid w:val="002D2339"/>
    <w:rsid w:val="002D2815"/>
    <w:rsid w:val="002D295B"/>
    <w:rsid w:val="002D452D"/>
    <w:rsid w:val="002D62A2"/>
    <w:rsid w:val="002D6658"/>
    <w:rsid w:val="002E2FB1"/>
    <w:rsid w:val="002E34A8"/>
    <w:rsid w:val="002E489E"/>
    <w:rsid w:val="002E5546"/>
    <w:rsid w:val="002E5A3D"/>
    <w:rsid w:val="002E712A"/>
    <w:rsid w:val="002F421C"/>
    <w:rsid w:val="002F4EB8"/>
    <w:rsid w:val="002F50C4"/>
    <w:rsid w:val="002F68FC"/>
    <w:rsid w:val="003001E4"/>
    <w:rsid w:val="00301127"/>
    <w:rsid w:val="003033CD"/>
    <w:rsid w:val="00303979"/>
    <w:rsid w:val="00303A7B"/>
    <w:rsid w:val="00303DAF"/>
    <w:rsid w:val="00303F69"/>
    <w:rsid w:val="00307AE1"/>
    <w:rsid w:val="00316A29"/>
    <w:rsid w:val="00317845"/>
    <w:rsid w:val="00317D54"/>
    <w:rsid w:val="00317F0E"/>
    <w:rsid w:val="0032145B"/>
    <w:rsid w:val="00321650"/>
    <w:rsid w:val="003222C2"/>
    <w:rsid w:val="00324A0B"/>
    <w:rsid w:val="00324D2B"/>
    <w:rsid w:val="00324F39"/>
    <w:rsid w:val="003256A2"/>
    <w:rsid w:val="00325CB3"/>
    <w:rsid w:val="00327D49"/>
    <w:rsid w:val="0033164D"/>
    <w:rsid w:val="0033498E"/>
    <w:rsid w:val="00336BA3"/>
    <w:rsid w:val="00337F7A"/>
    <w:rsid w:val="003409FE"/>
    <w:rsid w:val="00340A73"/>
    <w:rsid w:val="00340D6B"/>
    <w:rsid w:val="003443BB"/>
    <w:rsid w:val="00346D78"/>
    <w:rsid w:val="003474A4"/>
    <w:rsid w:val="003509F0"/>
    <w:rsid w:val="00353BCC"/>
    <w:rsid w:val="0035739A"/>
    <w:rsid w:val="003610AE"/>
    <w:rsid w:val="0036110D"/>
    <w:rsid w:val="00362295"/>
    <w:rsid w:val="00363E96"/>
    <w:rsid w:val="0036516B"/>
    <w:rsid w:val="003661DE"/>
    <w:rsid w:val="0036679D"/>
    <w:rsid w:val="00370E9E"/>
    <w:rsid w:val="00372707"/>
    <w:rsid w:val="00372DCF"/>
    <w:rsid w:val="003739E1"/>
    <w:rsid w:val="00374981"/>
    <w:rsid w:val="00375265"/>
    <w:rsid w:val="00375835"/>
    <w:rsid w:val="00376F54"/>
    <w:rsid w:val="003776EA"/>
    <w:rsid w:val="00383EBD"/>
    <w:rsid w:val="00384AA2"/>
    <w:rsid w:val="003866AF"/>
    <w:rsid w:val="00390C88"/>
    <w:rsid w:val="00392B81"/>
    <w:rsid w:val="00392EAD"/>
    <w:rsid w:val="00396F3F"/>
    <w:rsid w:val="00397BAB"/>
    <w:rsid w:val="003A2157"/>
    <w:rsid w:val="003A2D25"/>
    <w:rsid w:val="003A38F1"/>
    <w:rsid w:val="003A41ED"/>
    <w:rsid w:val="003A56FD"/>
    <w:rsid w:val="003A57E6"/>
    <w:rsid w:val="003B2D3F"/>
    <w:rsid w:val="003B2D82"/>
    <w:rsid w:val="003B2EF1"/>
    <w:rsid w:val="003C00FE"/>
    <w:rsid w:val="003C2DB3"/>
    <w:rsid w:val="003C4499"/>
    <w:rsid w:val="003C4747"/>
    <w:rsid w:val="003C5A18"/>
    <w:rsid w:val="003C7659"/>
    <w:rsid w:val="003C7DBF"/>
    <w:rsid w:val="003D1260"/>
    <w:rsid w:val="003D2BA2"/>
    <w:rsid w:val="003D3B25"/>
    <w:rsid w:val="003D5608"/>
    <w:rsid w:val="003D6FF4"/>
    <w:rsid w:val="003E21DC"/>
    <w:rsid w:val="003E2F7E"/>
    <w:rsid w:val="003E662B"/>
    <w:rsid w:val="003F007D"/>
    <w:rsid w:val="003F1D86"/>
    <w:rsid w:val="003F4BD2"/>
    <w:rsid w:val="003F7667"/>
    <w:rsid w:val="00400A0A"/>
    <w:rsid w:val="00400BAD"/>
    <w:rsid w:val="00403A61"/>
    <w:rsid w:val="00403D06"/>
    <w:rsid w:val="00403E96"/>
    <w:rsid w:val="004077EE"/>
    <w:rsid w:val="00410CB8"/>
    <w:rsid w:val="004167B1"/>
    <w:rsid w:val="00416948"/>
    <w:rsid w:val="0041731A"/>
    <w:rsid w:val="00421CDD"/>
    <w:rsid w:val="00422989"/>
    <w:rsid w:val="00423E8D"/>
    <w:rsid w:val="00425356"/>
    <w:rsid w:val="004268EF"/>
    <w:rsid w:val="00430D55"/>
    <w:rsid w:val="00432A9B"/>
    <w:rsid w:val="0043427A"/>
    <w:rsid w:val="0043687D"/>
    <w:rsid w:val="0044161E"/>
    <w:rsid w:val="00441E1A"/>
    <w:rsid w:val="004430F6"/>
    <w:rsid w:val="00446952"/>
    <w:rsid w:val="004508C0"/>
    <w:rsid w:val="00451737"/>
    <w:rsid w:val="00454303"/>
    <w:rsid w:val="0045449F"/>
    <w:rsid w:val="004555C1"/>
    <w:rsid w:val="00455BF1"/>
    <w:rsid w:val="004560AA"/>
    <w:rsid w:val="004579FE"/>
    <w:rsid w:val="0046299D"/>
    <w:rsid w:val="00465256"/>
    <w:rsid w:val="00470EF4"/>
    <w:rsid w:val="00471577"/>
    <w:rsid w:val="00471A54"/>
    <w:rsid w:val="00476972"/>
    <w:rsid w:val="004769E2"/>
    <w:rsid w:val="00477C27"/>
    <w:rsid w:val="00480395"/>
    <w:rsid w:val="00481DEA"/>
    <w:rsid w:val="00484C6B"/>
    <w:rsid w:val="00485E81"/>
    <w:rsid w:val="00486098"/>
    <w:rsid w:val="0049161A"/>
    <w:rsid w:val="00494C8E"/>
    <w:rsid w:val="00495001"/>
    <w:rsid w:val="00495297"/>
    <w:rsid w:val="004A09AC"/>
    <w:rsid w:val="004A1594"/>
    <w:rsid w:val="004A2462"/>
    <w:rsid w:val="004A4286"/>
    <w:rsid w:val="004A44F0"/>
    <w:rsid w:val="004B07D1"/>
    <w:rsid w:val="004B2AB8"/>
    <w:rsid w:val="004B338D"/>
    <w:rsid w:val="004B3D61"/>
    <w:rsid w:val="004B4518"/>
    <w:rsid w:val="004B6E16"/>
    <w:rsid w:val="004C2658"/>
    <w:rsid w:val="004C3CE4"/>
    <w:rsid w:val="004C42B7"/>
    <w:rsid w:val="004D43A5"/>
    <w:rsid w:val="004D6E79"/>
    <w:rsid w:val="004D71F0"/>
    <w:rsid w:val="004D7A57"/>
    <w:rsid w:val="004E1EE4"/>
    <w:rsid w:val="004E325D"/>
    <w:rsid w:val="004E77C1"/>
    <w:rsid w:val="004E7C35"/>
    <w:rsid w:val="004F1408"/>
    <w:rsid w:val="004F2E21"/>
    <w:rsid w:val="004F3284"/>
    <w:rsid w:val="004F3A0E"/>
    <w:rsid w:val="004F4070"/>
    <w:rsid w:val="004F5E0B"/>
    <w:rsid w:val="004F62FC"/>
    <w:rsid w:val="004F7015"/>
    <w:rsid w:val="004F7D81"/>
    <w:rsid w:val="0050304B"/>
    <w:rsid w:val="00507D7A"/>
    <w:rsid w:val="00510E6F"/>
    <w:rsid w:val="005111EB"/>
    <w:rsid w:val="00511D9C"/>
    <w:rsid w:val="00514581"/>
    <w:rsid w:val="005213A6"/>
    <w:rsid w:val="00521D58"/>
    <w:rsid w:val="005236EF"/>
    <w:rsid w:val="00526BCA"/>
    <w:rsid w:val="005320D1"/>
    <w:rsid w:val="00535C21"/>
    <w:rsid w:val="005405C1"/>
    <w:rsid w:val="00540A0F"/>
    <w:rsid w:val="005440C5"/>
    <w:rsid w:val="00544B71"/>
    <w:rsid w:val="00545F23"/>
    <w:rsid w:val="005469B6"/>
    <w:rsid w:val="00547526"/>
    <w:rsid w:val="00550487"/>
    <w:rsid w:val="005520A1"/>
    <w:rsid w:val="00552195"/>
    <w:rsid w:val="005530E4"/>
    <w:rsid w:val="00553445"/>
    <w:rsid w:val="005535A9"/>
    <w:rsid w:val="005544A0"/>
    <w:rsid w:val="00560EE3"/>
    <w:rsid w:val="00562A08"/>
    <w:rsid w:val="005630BF"/>
    <w:rsid w:val="00565306"/>
    <w:rsid w:val="0056548B"/>
    <w:rsid w:val="00566378"/>
    <w:rsid w:val="00567852"/>
    <w:rsid w:val="00567C67"/>
    <w:rsid w:val="00571875"/>
    <w:rsid w:val="00571EBE"/>
    <w:rsid w:val="00575605"/>
    <w:rsid w:val="00575B00"/>
    <w:rsid w:val="005760C8"/>
    <w:rsid w:val="00577972"/>
    <w:rsid w:val="005808D4"/>
    <w:rsid w:val="00586D8F"/>
    <w:rsid w:val="005903CA"/>
    <w:rsid w:val="0059173F"/>
    <w:rsid w:val="00593812"/>
    <w:rsid w:val="00594C98"/>
    <w:rsid w:val="005A16AB"/>
    <w:rsid w:val="005A3374"/>
    <w:rsid w:val="005B01F2"/>
    <w:rsid w:val="005B09EA"/>
    <w:rsid w:val="005B6588"/>
    <w:rsid w:val="005B6D2E"/>
    <w:rsid w:val="005C009C"/>
    <w:rsid w:val="005C0927"/>
    <w:rsid w:val="005C2C59"/>
    <w:rsid w:val="005C3A3B"/>
    <w:rsid w:val="005C50B1"/>
    <w:rsid w:val="005C6125"/>
    <w:rsid w:val="005D0270"/>
    <w:rsid w:val="005D175F"/>
    <w:rsid w:val="005D3D26"/>
    <w:rsid w:val="005D43B6"/>
    <w:rsid w:val="005D4571"/>
    <w:rsid w:val="005D6793"/>
    <w:rsid w:val="005D6990"/>
    <w:rsid w:val="005D7E2B"/>
    <w:rsid w:val="005E511F"/>
    <w:rsid w:val="005E5A6C"/>
    <w:rsid w:val="005F2A28"/>
    <w:rsid w:val="005F3742"/>
    <w:rsid w:val="005F7D83"/>
    <w:rsid w:val="00602067"/>
    <w:rsid w:val="00603A89"/>
    <w:rsid w:val="0060761A"/>
    <w:rsid w:val="00607689"/>
    <w:rsid w:val="00607A9E"/>
    <w:rsid w:val="00607B7C"/>
    <w:rsid w:val="0061092D"/>
    <w:rsid w:val="00613804"/>
    <w:rsid w:val="006142A6"/>
    <w:rsid w:val="006163AE"/>
    <w:rsid w:val="0061734B"/>
    <w:rsid w:val="006202F7"/>
    <w:rsid w:val="00621220"/>
    <w:rsid w:val="00622294"/>
    <w:rsid w:val="00623BF2"/>
    <w:rsid w:val="006242EA"/>
    <w:rsid w:val="00624A69"/>
    <w:rsid w:val="00625B90"/>
    <w:rsid w:val="00626D96"/>
    <w:rsid w:val="00627028"/>
    <w:rsid w:val="00631F7D"/>
    <w:rsid w:val="006338BC"/>
    <w:rsid w:val="00634DF7"/>
    <w:rsid w:val="006356EA"/>
    <w:rsid w:val="00637400"/>
    <w:rsid w:val="00641C4A"/>
    <w:rsid w:val="00642E93"/>
    <w:rsid w:val="006430D8"/>
    <w:rsid w:val="006451E3"/>
    <w:rsid w:val="00645E2B"/>
    <w:rsid w:val="00652C9B"/>
    <w:rsid w:val="00655EDE"/>
    <w:rsid w:val="00663BCA"/>
    <w:rsid w:val="00664147"/>
    <w:rsid w:val="00664247"/>
    <w:rsid w:val="006642C0"/>
    <w:rsid w:val="00667012"/>
    <w:rsid w:val="00670108"/>
    <w:rsid w:val="00670934"/>
    <w:rsid w:val="00673F2A"/>
    <w:rsid w:val="00673F65"/>
    <w:rsid w:val="00675529"/>
    <w:rsid w:val="00680393"/>
    <w:rsid w:val="0068326E"/>
    <w:rsid w:val="00683814"/>
    <w:rsid w:val="0068391F"/>
    <w:rsid w:val="00683AEC"/>
    <w:rsid w:val="0068684C"/>
    <w:rsid w:val="00686F07"/>
    <w:rsid w:val="006876AD"/>
    <w:rsid w:val="00687749"/>
    <w:rsid w:val="0069623B"/>
    <w:rsid w:val="006A02C7"/>
    <w:rsid w:val="006A1B7B"/>
    <w:rsid w:val="006A37F5"/>
    <w:rsid w:val="006A38DB"/>
    <w:rsid w:val="006A43A6"/>
    <w:rsid w:val="006A45EC"/>
    <w:rsid w:val="006A52C4"/>
    <w:rsid w:val="006A7447"/>
    <w:rsid w:val="006A7905"/>
    <w:rsid w:val="006B119D"/>
    <w:rsid w:val="006B2992"/>
    <w:rsid w:val="006B31C0"/>
    <w:rsid w:val="006B3445"/>
    <w:rsid w:val="006C3DBA"/>
    <w:rsid w:val="006C4302"/>
    <w:rsid w:val="006C61A1"/>
    <w:rsid w:val="006D112C"/>
    <w:rsid w:val="006D2DF9"/>
    <w:rsid w:val="006E0B3A"/>
    <w:rsid w:val="006E2D4B"/>
    <w:rsid w:val="006E562F"/>
    <w:rsid w:val="006F1B46"/>
    <w:rsid w:val="006F4189"/>
    <w:rsid w:val="006F759F"/>
    <w:rsid w:val="007031E9"/>
    <w:rsid w:val="00710783"/>
    <w:rsid w:val="00712957"/>
    <w:rsid w:val="00713AB2"/>
    <w:rsid w:val="007144A0"/>
    <w:rsid w:val="007156E1"/>
    <w:rsid w:val="007159B3"/>
    <w:rsid w:val="00716744"/>
    <w:rsid w:val="0072355A"/>
    <w:rsid w:val="00724DC6"/>
    <w:rsid w:val="00725FA6"/>
    <w:rsid w:val="007328B1"/>
    <w:rsid w:val="0073310E"/>
    <w:rsid w:val="00734273"/>
    <w:rsid w:val="00734F84"/>
    <w:rsid w:val="00735CA5"/>
    <w:rsid w:val="007361F0"/>
    <w:rsid w:val="00742DD9"/>
    <w:rsid w:val="00743119"/>
    <w:rsid w:val="00743279"/>
    <w:rsid w:val="00747854"/>
    <w:rsid w:val="007509EC"/>
    <w:rsid w:val="00752265"/>
    <w:rsid w:val="00753054"/>
    <w:rsid w:val="00753297"/>
    <w:rsid w:val="007537B8"/>
    <w:rsid w:val="00755434"/>
    <w:rsid w:val="00755E99"/>
    <w:rsid w:val="00755FC4"/>
    <w:rsid w:val="0075673E"/>
    <w:rsid w:val="00762F07"/>
    <w:rsid w:val="007647AE"/>
    <w:rsid w:val="00771445"/>
    <w:rsid w:val="00771534"/>
    <w:rsid w:val="00773727"/>
    <w:rsid w:val="00777A7E"/>
    <w:rsid w:val="0078008A"/>
    <w:rsid w:val="0078115A"/>
    <w:rsid w:val="007811D0"/>
    <w:rsid w:val="00782558"/>
    <w:rsid w:val="00782E3A"/>
    <w:rsid w:val="00785937"/>
    <w:rsid w:val="00787CBC"/>
    <w:rsid w:val="00791C6C"/>
    <w:rsid w:val="007948E0"/>
    <w:rsid w:val="007948FD"/>
    <w:rsid w:val="00794B54"/>
    <w:rsid w:val="00794B8E"/>
    <w:rsid w:val="00797A77"/>
    <w:rsid w:val="007A00E5"/>
    <w:rsid w:val="007A1512"/>
    <w:rsid w:val="007A5FF9"/>
    <w:rsid w:val="007B02F5"/>
    <w:rsid w:val="007B3B09"/>
    <w:rsid w:val="007B4599"/>
    <w:rsid w:val="007B6059"/>
    <w:rsid w:val="007B6D15"/>
    <w:rsid w:val="007C47B6"/>
    <w:rsid w:val="007C4D07"/>
    <w:rsid w:val="007C4FAC"/>
    <w:rsid w:val="007C5741"/>
    <w:rsid w:val="007D35EE"/>
    <w:rsid w:val="007D4E48"/>
    <w:rsid w:val="007D5693"/>
    <w:rsid w:val="007D5FAD"/>
    <w:rsid w:val="007D6C85"/>
    <w:rsid w:val="007D72F5"/>
    <w:rsid w:val="007E01BF"/>
    <w:rsid w:val="007E2E7F"/>
    <w:rsid w:val="007E30BA"/>
    <w:rsid w:val="007E3DE4"/>
    <w:rsid w:val="007E699B"/>
    <w:rsid w:val="007F0F7C"/>
    <w:rsid w:val="007F3023"/>
    <w:rsid w:val="007F5910"/>
    <w:rsid w:val="008001C0"/>
    <w:rsid w:val="008007E3"/>
    <w:rsid w:val="008030BD"/>
    <w:rsid w:val="00804BCF"/>
    <w:rsid w:val="00806EFD"/>
    <w:rsid w:val="00807F2A"/>
    <w:rsid w:val="00811D76"/>
    <w:rsid w:val="008130AD"/>
    <w:rsid w:val="00813F08"/>
    <w:rsid w:val="0081764F"/>
    <w:rsid w:val="00823CA4"/>
    <w:rsid w:val="00824832"/>
    <w:rsid w:val="0082686B"/>
    <w:rsid w:val="00826CF4"/>
    <w:rsid w:val="00827C6D"/>
    <w:rsid w:val="00832297"/>
    <w:rsid w:val="00834075"/>
    <w:rsid w:val="008348B8"/>
    <w:rsid w:val="00834D09"/>
    <w:rsid w:val="00836656"/>
    <w:rsid w:val="00842B2B"/>
    <w:rsid w:val="00851427"/>
    <w:rsid w:val="008544D7"/>
    <w:rsid w:val="00857A71"/>
    <w:rsid w:val="00860568"/>
    <w:rsid w:val="0086260D"/>
    <w:rsid w:val="00862700"/>
    <w:rsid w:val="00864C48"/>
    <w:rsid w:val="0086700B"/>
    <w:rsid w:val="0086754D"/>
    <w:rsid w:val="00867CE3"/>
    <w:rsid w:val="0087024E"/>
    <w:rsid w:val="008736BB"/>
    <w:rsid w:val="00874F79"/>
    <w:rsid w:val="008751E0"/>
    <w:rsid w:val="00875308"/>
    <w:rsid w:val="00876658"/>
    <w:rsid w:val="00876693"/>
    <w:rsid w:val="00876B44"/>
    <w:rsid w:val="00880983"/>
    <w:rsid w:val="0088276D"/>
    <w:rsid w:val="00883986"/>
    <w:rsid w:val="008849A1"/>
    <w:rsid w:val="008866DC"/>
    <w:rsid w:val="0088691A"/>
    <w:rsid w:val="00886C03"/>
    <w:rsid w:val="00886F26"/>
    <w:rsid w:val="0088722E"/>
    <w:rsid w:val="008953D5"/>
    <w:rsid w:val="008A3109"/>
    <w:rsid w:val="008A51A5"/>
    <w:rsid w:val="008B1C66"/>
    <w:rsid w:val="008B1F90"/>
    <w:rsid w:val="008B2129"/>
    <w:rsid w:val="008B31DB"/>
    <w:rsid w:val="008B3F60"/>
    <w:rsid w:val="008B59FC"/>
    <w:rsid w:val="008B6075"/>
    <w:rsid w:val="008B64C2"/>
    <w:rsid w:val="008B6695"/>
    <w:rsid w:val="008B67F3"/>
    <w:rsid w:val="008B6BE8"/>
    <w:rsid w:val="008B74B4"/>
    <w:rsid w:val="008C0364"/>
    <w:rsid w:val="008C3BE9"/>
    <w:rsid w:val="008C4B0F"/>
    <w:rsid w:val="008C7D4C"/>
    <w:rsid w:val="008D05BC"/>
    <w:rsid w:val="008D19F1"/>
    <w:rsid w:val="008D2A0E"/>
    <w:rsid w:val="008D379B"/>
    <w:rsid w:val="008D601F"/>
    <w:rsid w:val="008E1230"/>
    <w:rsid w:val="008E2FB6"/>
    <w:rsid w:val="008E734F"/>
    <w:rsid w:val="008E73D0"/>
    <w:rsid w:val="008E77A2"/>
    <w:rsid w:val="008F3B18"/>
    <w:rsid w:val="008F4CBB"/>
    <w:rsid w:val="008F51E0"/>
    <w:rsid w:val="008F7A6A"/>
    <w:rsid w:val="008F7FA8"/>
    <w:rsid w:val="0090045C"/>
    <w:rsid w:val="00900A9E"/>
    <w:rsid w:val="0090235C"/>
    <w:rsid w:val="0090328B"/>
    <w:rsid w:val="00910D2A"/>
    <w:rsid w:val="00914DD8"/>
    <w:rsid w:val="00917314"/>
    <w:rsid w:val="009205BC"/>
    <w:rsid w:val="00926218"/>
    <w:rsid w:val="00927F69"/>
    <w:rsid w:val="00930820"/>
    <w:rsid w:val="00930DC8"/>
    <w:rsid w:val="00936336"/>
    <w:rsid w:val="00944591"/>
    <w:rsid w:val="00944AD9"/>
    <w:rsid w:val="00944BD0"/>
    <w:rsid w:val="00944D00"/>
    <w:rsid w:val="00945C13"/>
    <w:rsid w:val="0094713B"/>
    <w:rsid w:val="00950E56"/>
    <w:rsid w:val="009534C1"/>
    <w:rsid w:val="00954960"/>
    <w:rsid w:val="00954C06"/>
    <w:rsid w:val="00954F0F"/>
    <w:rsid w:val="00956552"/>
    <w:rsid w:val="0097295D"/>
    <w:rsid w:val="00980118"/>
    <w:rsid w:val="009813D0"/>
    <w:rsid w:val="00981970"/>
    <w:rsid w:val="009836CA"/>
    <w:rsid w:val="00984987"/>
    <w:rsid w:val="00984C07"/>
    <w:rsid w:val="00990C56"/>
    <w:rsid w:val="00990F12"/>
    <w:rsid w:val="0099392D"/>
    <w:rsid w:val="00993E86"/>
    <w:rsid w:val="00995FB7"/>
    <w:rsid w:val="00996EFF"/>
    <w:rsid w:val="009A45A6"/>
    <w:rsid w:val="009A7EA5"/>
    <w:rsid w:val="009B0195"/>
    <w:rsid w:val="009B1964"/>
    <w:rsid w:val="009B2AA0"/>
    <w:rsid w:val="009B44EE"/>
    <w:rsid w:val="009B487D"/>
    <w:rsid w:val="009B61D4"/>
    <w:rsid w:val="009B775C"/>
    <w:rsid w:val="009C251E"/>
    <w:rsid w:val="009C4FB6"/>
    <w:rsid w:val="009C5B72"/>
    <w:rsid w:val="009D09F9"/>
    <w:rsid w:val="009D1703"/>
    <w:rsid w:val="009D28C0"/>
    <w:rsid w:val="009D394E"/>
    <w:rsid w:val="009D4C31"/>
    <w:rsid w:val="009D4D0F"/>
    <w:rsid w:val="009D66B3"/>
    <w:rsid w:val="009D7C20"/>
    <w:rsid w:val="009E29A6"/>
    <w:rsid w:val="009E5CE5"/>
    <w:rsid w:val="009E6B1C"/>
    <w:rsid w:val="009F0F0F"/>
    <w:rsid w:val="009F26D2"/>
    <w:rsid w:val="009F2BD4"/>
    <w:rsid w:val="009F51E9"/>
    <w:rsid w:val="009F74D9"/>
    <w:rsid w:val="009F7F68"/>
    <w:rsid w:val="00A03545"/>
    <w:rsid w:val="00A03A5A"/>
    <w:rsid w:val="00A05BB1"/>
    <w:rsid w:val="00A07382"/>
    <w:rsid w:val="00A07688"/>
    <w:rsid w:val="00A07CB3"/>
    <w:rsid w:val="00A11348"/>
    <w:rsid w:val="00A13876"/>
    <w:rsid w:val="00A20A53"/>
    <w:rsid w:val="00A20B20"/>
    <w:rsid w:val="00A219C7"/>
    <w:rsid w:val="00A21F2C"/>
    <w:rsid w:val="00A25027"/>
    <w:rsid w:val="00A27608"/>
    <w:rsid w:val="00A3007F"/>
    <w:rsid w:val="00A323D2"/>
    <w:rsid w:val="00A325A4"/>
    <w:rsid w:val="00A34C91"/>
    <w:rsid w:val="00A41C20"/>
    <w:rsid w:val="00A41C60"/>
    <w:rsid w:val="00A424F7"/>
    <w:rsid w:val="00A467BB"/>
    <w:rsid w:val="00A55922"/>
    <w:rsid w:val="00A56DDB"/>
    <w:rsid w:val="00A577BB"/>
    <w:rsid w:val="00A63A55"/>
    <w:rsid w:val="00A63E69"/>
    <w:rsid w:val="00A66579"/>
    <w:rsid w:val="00A77CB7"/>
    <w:rsid w:val="00A80190"/>
    <w:rsid w:val="00A84291"/>
    <w:rsid w:val="00A85684"/>
    <w:rsid w:val="00A858A9"/>
    <w:rsid w:val="00A86E4E"/>
    <w:rsid w:val="00A9064F"/>
    <w:rsid w:val="00A95AB0"/>
    <w:rsid w:val="00A97F93"/>
    <w:rsid w:val="00AA504F"/>
    <w:rsid w:val="00AA6F2C"/>
    <w:rsid w:val="00AA73EA"/>
    <w:rsid w:val="00AA7745"/>
    <w:rsid w:val="00AB1BFE"/>
    <w:rsid w:val="00AB3020"/>
    <w:rsid w:val="00AB3AC7"/>
    <w:rsid w:val="00AB719D"/>
    <w:rsid w:val="00AC047C"/>
    <w:rsid w:val="00AC0EDE"/>
    <w:rsid w:val="00AC102C"/>
    <w:rsid w:val="00AC1B5D"/>
    <w:rsid w:val="00AC27D9"/>
    <w:rsid w:val="00AC65A7"/>
    <w:rsid w:val="00AC7E7B"/>
    <w:rsid w:val="00AD081A"/>
    <w:rsid w:val="00AD0888"/>
    <w:rsid w:val="00AD0DA6"/>
    <w:rsid w:val="00AD13DD"/>
    <w:rsid w:val="00AD3DFD"/>
    <w:rsid w:val="00AD56C4"/>
    <w:rsid w:val="00AD59B1"/>
    <w:rsid w:val="00AD64CF"/>
    <w:rsid w:val="00AD6F52"/>
    <w:rsid w:val="00AD7A0A"/>
    <w:rsid w:val="00AD7F4F"/>
    <w:rsid w:val="00AE02EF"/>
    <w:rsid w:val="00AE1918"/>
    <w:rsid w:val="00AE35A6"/>
    <w:rsid w:val="00AE3BFF"/>
    <w:rsid w:val="00AE4CC7"/>
    <w:rsid w:val="00AE55EE"/>
    <w:rsid w:val="00AE5AE6"/>
    <w:rsid w:val="00AE6994"/>
    <w:rsid w:val="00AE6DA6"/>
    <w:rsid w:val="00AF196B"/>
    <w:rsid w:val="00AF1D85"/>
    <w:rsid w:val="00AF32E6"/>
    <w:rsid w:val="00AF454C"/>
    <w:rsid w:val="00AF46C7"/>
    <w:rsid w:val="00AF5B50"/>
    <w:rsid w:val="00B016B8"/>
    <w:rsid w:val="00B0355F"/>
    <w:rsid w:val="00B03A2B"/>
    <w:rsid w:val="00B054F9"/>
    <w:rsid w:val="00B10776"/>
    <w:rsid w:val="00B12356"/>
    <w:rsid w:val="00B12E2C"/>
    <w:rsid w:val="00B13E04"/>
    <w:rsid w:val="00B1478A"/>
    <w:rsid w:val="00B17BA1"/>
    <w:rsid w:val="00B20A6B"/>
    <w:rsid w:val="00B21DCE"/>
    <w:rsid w:val="00B22ED7"/>
    <w:rsid w:val="00B23BB8"/>
    <w:rsid w:val="00B240E5"/>
    <w:rsid w:val="00B27BDF"/>
    <w:rsid w:val="00B27C00"/>
    <w:rsid w:val="00B30113"/>
    <w:rsid w:val="00B32311"/>
    <w:rsid w:val="00B34D56"/>
    <w:rsid w:val="00B35566"/>
    <w:rsid w:val="00B373B3"/>
    <w:rsid w:val="00B43634"/>
    <w:rsid w:val="00B43E3B"/>
    <w:rsid w:val="00B477FD"/>
    <w:rsid w:val="00B5531D"/>
    <w:rsid w:val="00B608D4"/>
    <w:rsid w:val="00B61161"/>
    <w:rsid w:val="00B63C4B"/>
    <w:rsid w:val="00B640D4"/>
    <w:rsid w:val="00B64B59"/>
    <w:rsid w:val="00B65156"/>
    <w:rsid w:val="00B6737A"/>
    <w:rsid w:val="00B7073E"/>
    <w:rsid w:val="00B73893"/>
    <w:rsid w:val="00B73A7F"/>
    <w:rsid w:val="00B74672"/>
    <w:rsid w:val="00B75473"/>
    <w:rsid w:val="00B754CF"/>
    <w:rsid w:val="00B81748"/>
    <w:rsid w:val="00B823F4"/>
    <w:rsid w:val="00B86BF9"/>
    <w:rsid w:val="00B901D4"/>
    <w:rsid w:val="00B95F9E"/>
    <w:rsid w:val="00B96492"/>
    <w:rsid w:val="00B964F9"/>
    <w:rsid w:val="00B96C7C"/>
    <w:rsid w:val="00B97AD3"/>
    <w:rsid w:val="00BA0734"/>
    <w:rsid w:val="00BA0D53"/>
    <w:rsid w:val="00BA11C0"/>
    <w:rsid w:val="00BA18C9"/>
    <w:rsid w:val="00BA43F2"/>
    <w:rsid w:val="00BA4FB4"/>
    <w:rsid w:val="00BA502E"/>
    <w:rsid w:val="00BA523E"/>
    <w:rsid w:val="00BB385B"/>
    <w:rsid w:val="00BB6805"/>
    <w:rsid w:val="00BB70DF"/>
    <w:rsid w:val="00BC051F"/>
    <w:rsid w:val="00BC13F2"/>
    <w:rsid w:val="00BC3817"/>
    <w:rsid w:val="00BC48A1"/>
    <w:rsid w:val="00BC6EED"/>
    <w:rsid w:val="00BD0B88"/>
    <w:rsid w:val="00BD368F"/>
    <w:rsid w:val="00BD46D4"/>
    <w:rsid w:val="00BD4EC0"/>
    <w:rsid w:val="00BD529B"/>
    <w:rsid w:val="00BD5925"/>
    <w:rsid w:val="00BD6AE9"/>
    <w:rsid w:val="00BE230E"/>
    <w:rsid w:val="00BE495C"/>
    <w:rsid w:val="00BE4F1F"/>
    <w:rsid w:val="00BE6ECA"/>
    <w:rsid w:val="00BE73EB"/>
    <w:rsid w:val="00BE7C65"/>
    <w:rsid w:val="00BF08F1"/>
    <w:rsid w:val="00BF11DF"/>
    <w:rsid w:val="00C0176F"/>
    <w:rsid w:val="00C0309A"/>
    <w:rsid w:val="00C0573C"/>
    <w:rsid w:val="00C05F56"/>
    <w:rsid w:val="00C06998"/>
    <w:rsid w:val="00C0750A"/>
    <w:rsid w:val="00C115A9"/>
    <w:rsid w:val="00C12E72"/>
    <w:rsid w:val="00C137FE"/>
    <w:rsid w:val="00C14C07"/>
    <w:rsid w:val="00C15211"/>
    <w:rsid w:val="00C16318"/>
    <w:rsid w:val="00C1678A"/>
    <w:rsid w:val="00C2131D"/>
    <w:rsid w:val="00C217A2"/>
    <w:rsid w:val="00C25C97"/>
    <w:rsid w:val="00C266A2"/>
    <w:rsid w:val="00C26D0A"/>
    <w:rsid w:val="00C30B11"/>
    <w:rsid w:val="00C340DA"/>
    <w:rsid w:val="00C3622A"/>
    <w:rsid w:val="00C40F2F"/>
    <w:rsid w:val="00C41889"/>
    <w:rsid w:val="00C41EC3"/>
    <w:rsid w:val="00C42DA9"/>
    <w:rsid w:val="00C4329D"/>
    <w:rsid w:val="00C44D1C"/>
    <w:rsid w:val="00C46BAC"/>
    <w:rsid w:val="00C46FF2"/>
    <w:rsid w:val="00C507E8"/>
    <w:rsid w:val="00C508CB"/>
    <w:rsid w:val="00C50E59"/>
    <w:rsid w:val="00C54565"/>
    <w:rsid w:val="00C55602"/>
    <w:rsid w:val="00C56D80"/>
    <w:rsid w:val="00C61124"/>
    <w:rsid w:val="00C613FF"/>
    <w:rsid w:val="00C61777"/>
    <w:rsid w:val="00C64805"/>
    <w:rsid w:val="00C70DE1"/>
    <w:rsid w:val="00C7116D"/>
    <w:rsid w:val="00C72CD0"/>
    <w:rsid w:val="00C734A8"/>
    <w:rsid w:val="00C74299"/>
    <w:rsid w:val="00C76245"/>
    <w:rsid w:val="00C80BFE"/>
    <w:rsid w:val="00C82B91"/>
    <w:rsid w:val="00C83B52"/>
    <w:rsid w:val="00C84845"/>
    <w:rsid w:val="00C87310"/>
    <w:rsid w:val="00C916AB"/>
    <w:rsid w:val="00C96DCF"/>
    <w:rsid w:val="00CA14F0"/>
    <w:rsid w:val="00CA1CE6"/>
    <w:rsid w:val="00CA36E5"/>
    <w:rsid w:val="00CA39CE"/>
    <w:rsid w:val="00CA41E1"/>
    <w:rsid w:val="00CA7786"/>
    <w:rsid w:val="00CB0411"/>
    <w:rsid w:val="00CB0CCC"/>
    <w:rsid w:val="00CB124A"/>
    <w:rsid w:val="00CC46E3"/>
    <w:rsid w:val="00CC501F"/>
    <w:rsid w:val="00CC69D9"/>
    <w:rsid w:val="00CD0293"/>
    <w:rsid w:val="00CD1B6B"/>
    <w:rsid w:val="00CD6277"/>
    <w:rsid w:val="00CD72A5"/>
    <w:rsid w:val="00CE496C"/>
    <w:rsid w:val="00CE4E7A"/>
    <w:rsid w:val="00CE62C1"/>
    <w:rsid w:val="00CF1507"/>
    <w:rsid w:val="00CF243C"/>
    <w:rsid w:val="00CF37D8"/>
    <w:rsid w:val="00CF5990"/>
    <w:rsid w:val="00CF77A3"/>
    <w:rsid w:val="00CF79CE"/>
    <w:rsid w:val="00D00840"/>
    <w:rsid w:val="00D01165"/>
    <w:rsid w:val="00D02B47"/>
    <w:rsid w:val="00D076AF"/>
    <w:rsid w:val="00D07A66"/>
    <w:rsid w:val="00D115AE"/>
    <w:rsid w:val="00D136F6"/>
    <w:rsid w:val="00D15B7C"/>
    <w:rsid w:val="00D15D2E"/>
    <w:rsid w:val="00D1700B"/>
    <w:rsid w:val="00D1765F"/>
    <w:rsid w:val="00D17CF7"/>
    <w:rsid w:val="00D200FA"/>
    <w:rsid w:val="00D20B4D"/>
    <w:rsid w:val="00D214F5"/>
    <w:rsid w:val="00D34ECC"/>
    <w:rsid w:val="00D351D2"/>
    <w:rsid w:val="00D36DAF"/>
    <w:rsid w:val="00D40AE8"/>
    <w:rsid w:val="00D4448C"/>
    <w:rsid w:val="00D5000F"/>
    <w:rsid w:val="00D5181E"/>
    <w:rsid w:val="00D550A1"/>
    <w:rsid w:val="00D57EF1"/>
    <w:rsid w:val="00D61098"/>
    <w:rsid w:val="00D61492"/>
    <w:rsid w:val="00D621DB"/>
    <w:rsid w:val="00D65D7C"/>
    <w:rsid w:val="00D65F12"/>
    <w:rsid w:val="00D66228"/>
    <w:rsid w:val="00D67D7B"/>
    <w:rsid w:val="00D70512"/>
    <w:rsid w:val="00D72A1B"/>
    <w:rsid w:val="00D76B87"/>
    <w:rsid w:val="00D77804"/>
    <w:rsid w:val="00D77C60"/>
    <w:rsid w:val="00D77D45"/>
    <w:rsid w:val="00D83B63"/>
    <w:rsid w:val="00D83D2C"/>
    <w:rsid w:val="00D84704"/>
    <w:rsid w:val="00D84BBA"/>
    <w:rsid w:val="00D85ED1"/>
    <w:rsid w:val="00D878A1"/>
    <w:rsid w:val="00D9222E"/>
    <w:rsid w:val="00D92672"/>
    <w:rsid w:val="00D941BE"/>
    <w:rsid w:val="00D96E8C"/>
    <w:rsid w:val="00D97111"/>
    <w:rsid w:val="00DA006F"/>
    <w:rsid w:val="00DA1BFA"/>
    <w:rsid w:val="00DA2A49"/>
    <w:rsid w:val="00DA5940"/>
    <w:rsid w:val="00DA59B3"/>
    <w:rsid w:val="00DA65C2"/>
    <w:rsid w:val="00DB1021"/>
    <w:rsid w:val="00DB6807"/>
    <w:rsid w:val="00DB788C"/>
    <w:rsid w:val="00DD05B0"/>
    <w:rsid w:val="00DD0A20"/>
    <w:rsid w:val="00DD13BE"/>
    <w:rsid w:val="00DD1F90"/>
    <w:rsid w:val="00DD52DF"/>
    <w:rsid w:val="00DD5DAB"/>
    <w:rsid w:val="00DE0C9A"/>
    <w:rsid w:val="00DE2CA4"/>
    <w:rsid w:val="00DE6199"/>
    <w:rsid w:val="00DE69E3"/>
    <w:rsid w:val="00DE6BBC"/>
    <w:rsid w:val="00DE6EBA"/>
    <w:rsid w:val="00DF0E09"/>
    <w:rsid w:val="00DF5376"/>
    <w:rsid w:val="00DF671C"/>
    <w:rsid w:val="00E01B16"/>
    <w:rsid w:val="00E04C2F"/>
    <w:rsid w:val="00E058B6"/>
    <w:rsid w:val="00E07041"/>
    <w:rsid w:val="00E11821"/>
    <w:rsid w:val="00E15B78"/>
    <w:rsid w:val="00E229C9"/>
    <w:rsid w:val="00E22C7E"/>
    <w:rsid w:val="00E235D5"/>
    <w:rsid w:val="00E23772"/>
    <w:rsid w:val="00E24694"/>
    <w:rsid w:val="00E3116D"/>
    <w:rsid w:val="00E312C6"/>
    <w:rsid w:val="00E31E2D"/>
    <w:rsid w:val="00E36454"/>
    <w:rsid w:val="00E40E04"/>
    <w:rsid w:val="00E41859"/>
    <w:rsid w:val="00E41D53"/>
    <w:rsid w:val="00E43466"/>
    <w:rsid w:val="00E436F5"/>
    <w:rsid w:val="00E450B8"/>
    <w:rsid w:val="00E4614D"/>
    <w:rsid w:val="00E47724"/>
    <w:rsid w:val="00E479FB"/>
    <w:rsid w:val="00E508AA"/>
    <w:rsid w:val="00E52455"/>
    <w:rsid w:val="00E55E7E"/>
    <w:rsid w:val="00E563E4"/>
    <w:rsid w:val="00E57958"/>
    <w:rsid w:val="00E63359"/>
    <w:rsid w:val="00E64446"/>
    <w:rsid w:val="00E65793"/>
    <w:rsid w:val="00E66E41"/>
    <w:rsid w:val="00E66F11"/>
    <w:rsid w:val="00E67283"/>
    <w:rsid w:val="00E7291A"/>
    <w:rsid w:val="00E72F4D"/>
    <w:rsid w:val="00E738F3"/>
    <w:rsid w:val="00E74D43"/>
    <w:rsid w:val="00E82CFE"/>
    <w:rsid w:val="00E84919"/>
    <w:rsid w:val="00E85945"/>
    <w:rsid w:val="00E874E2"/>
    <w:rsid w:val="00E94C2D"/>
    <w:rsid w:val="00EA32B4"/>
    <w:rsid w:val="00EA35D0"/>
    <w:rsid w:val="00EA630A"/>
    <w:rsid w:val="00EB2F67"/>
    <w:rsid w:val="00EB30EC"/>
    <w:rsid w:val="00EB3605"/>
    <w:rsid w:val="00EB606B"/>
    <w:rsid w:val="00EB65F0"/>
    <w:rsid w:val="00EB699D"/>
    <w:rsid w:val="00EB6F11"/>
    <w:rsid w:val="00EB7BE1"/>
    <w:rsid w:val="00EC1D70"/>
    <w:rsid w:val="00EC2D3D"/>
    <w:rsid w:val="00EC2F56"/>
    <w:rsid w:val="00EC50F0"/>
    <w:rsid w:val="00EC52AC"/>
    <w:rsid w:val="00EC68F8"/>
    <w:rsid w:val="00EC6E0C"/>
    <w:rsid w:val="00EC7AB4"/>
    <w:rsid w:val="00ED15F4"/>
    <w:rsid w:val="00ED196E"/>
    <w:rsid w:val="00ED23EE"/>
    <w:rsid w:val="00ED69F5"/>
    <w:rsid w:val="00EE11EA"/>
    <w:rsid w:val="00EE13DD"/>
    <w:rsid w:val="00EE1F1C"/>
    <w:rsid w:val="00EE4864"/>
    <w:rsid w:val="00EE4B6E"/>
    <w:rsid w:val="00EE71FF"/>
    <w:rsid w:val="00EE7327"/>
    <w:rsid w:val="00EF4D45"/>
    <w:rsid w:val="00EF58F7"/>
    <w:rsid w:val="00EF6194"/>
    <w:rsid w:val="00EF6209"/>
    <w:rsid w:val="00EF6AE3"/>
    <w:rsid w:val="00EF73E8"/>
    <w:rsid w:val="00F00C99"/>
    <w:rsid w:val="00F01305"/>
    <w:rsid w:val="00F018FE"/>
    <w:rsid w:val="00F02EDA"/>
    <w:rsid w:val="00F0572E"/>
    <w:rsid w:val="00F06B23"/>
    <w:rsid w:val="00F077DC"/>
    <w:rsid w:val="00F10112"/>
    <w:rsid w:val="00F113EC"/>
    <w:rsid w:val="00F12DBD"/>
    <w:rsid w:val="00F179A6"/>
    <w:rsid w:val="00F17D90"/>
    <w:rsid w:val="00F217DD"/>
    <w:rsid w:val="00F21B1A"/>
    <w:rsid w:val="00F24DD3"/>
    <w:rsid w:val="00F27A80"/>
    <w:rsid w:val="00F30761"/>
    <w:rsid w:val="00F30D4F"/>
    <w:rsid w:val="00F31891"/>
    <w:rsid w:val="00F359B4"/>
    <w:rsid w:val="00F372A6"/>
    <w:rsid w:val="00F421DF"/>
    <w:rsid w:val="00F43096"/>
    <w:rsid w:val="00F447B6"/>
    <w:rsid w:val="00F46F4C"/>
    <w:rsid w:val="00F474F2"/>
    <w:rsid w:val="00F51167"/>
    <w:rsid w:val="00F51982"/>
    <w:rsid w:val="00F53025"/>
    <w:rsid w:val="00F541F2"/>
    <w:rsid w:val="00F54CCC"/>
    <w:rsid w:val="00F555C7"/>
    <w:rsid w:val="00F649A3"/>
    <w:rsid w:val="00F66FDE"/>
    <w:rsid w:val="00F67A4A"/>
    <w:rsid w:val="00F712D3"/>
    <w:rsid w:val="00F737E2"/>
    <w:rsid w:val="00F76321"/>
    <w:rsid w:val="00F7787B"/>
    <w:rsid w:val="00F842CD"/>
    <w:rsid w:val="00F84468"/>
    <w:rsid w:val="00F8555A"/>
    <w:rsid w:val="00F860E5"/>
    <w:rsid w:val="00F86D4A"/>
    <w:rsid w:val="00F87F0B"/>
    <w:rsid w:val="00F95601"/>
    <w:rsid w:val="00FA03CE"/>
    <w:rsid w:val="00FA0BCD"/>
    <w:rsid w:val="00FA1CD7"/>
    <w:rsid w:val="00FA3F14"/>
    <w:rsid w:val="00FA432A"/>
    <w:rsid w:val="00FA4B73"/>
    <w:rsid w:val="00FA5189"/>
    <w:rsid w:val="00FA60BD"/>
    <w:rsid w:val="00FB1964"/>
    <w:rsid w:val="00FB1E21"/>
    <w:rsid w:val="00FB58FA"/>
    <w:rsid w:val="00FC0485"/>
    <w:rsid w:val="00FC04F4"/>
    <w:rsid w:val="00FC0B7F"/>
    <w:rsid w:val="00FC2B84"/>
    <w:rsid w:val="00FC7F03"/>
    <w:rsid w:val="00FD044A"/>
    <w:rsid w:val="00FD069A"/>
    <w:rsid w:val="00FD4122"/>
    <w:rsid w:val="00FD422C"/>
    <w:rsid w:val="00FD5982"/>
    <w:rsid w:val="00FD63D9"/>
    <w:rsid w:val="00FE01BA"/>
    <w:rsid w:val="00FE021E"/>
    <w:rsid w:val="00FE4808"/>
    <w:rsid w:val="00FE55A2"/>
    <w:rsid w:val="00FE57FA"/>
    <w:rsid w:val="00FE6509"/>
    <w:rsid w:val="00FE736C"/>
    <w:rsid w:val="00FE78EE"/>
    <w:rsid w:val="00FF14B8"/>
    <w:rsid w:val="00FF3C4C"/>
    <w:rsid w:val="00FF3E6D"/>
    <w:rsid w:val="00FF3EDB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CF4"/>
    <w:pPr>
      <w:tabs>
        <w:tab w:val="center" w:pos="4677"/>
        <w:tab w:val="right" w:pos="9355"/>
      </w:tabs>
    </w:pPr>
  </w:style>
  <w:style w:type="character" w:styleId="a5">
    <w:name w:val="page number"/>
    <w:rsid w:val="00826CF4"/>
    <w:rPr>
      <w:rFonts w:cs="Times New Roman"/>
    </w:rPr>
  </w:style>
  <w:style w:type="character" w:customStyle="1" w:styleId="a4">
    <w:name w:val="Верхний колонтитул Знак"/>
    <w:link w:val="a3"/>
    <w:uiPriority w:val="99"/>
    <w:locked/>
    <w:rsid w:val="00826CF4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826CF4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738F3"/>
    <w:rPr>
      <w:b/>
      <w:bCs/>
      <w:sz w:val="31"/>
      <w:szCs w:val="31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E738F3"/>
    <w:pPr>
      <w:widowControl w:val="0"/>
      <w:shd w:val="clear" w:color="auto" w:fill="FFFFFF"/>
      <w:spacing w:after="3060" w:line="240" w:lineRule="atLeast"/>
    </w:pPr>
    <w:rPr>
      <w:b/>
      <w:bCs/>
      <w:sz w:val="31"/>
      <w:szCs w:val="31"/>
      <w:shd w:val="clear" w:color="auto" w:fill="FFFFFF"/>
    </w:rPr>
  </w:style>
  <w:style w:type="paragraph" w:styleId="a6">
    <w:name w:val="footer"/>
    <w:basedOn w:val="a"/>
    <w:link w:val="a7"/>
    <w:uiPriority w:val="99"/>
    <w:rsid w:val="00325C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25CB3"/>
    <w:rPr>
      <w:sz w:val="24"/>
      <w:szCs w:val="24"/>
    </w:rPr>
  </w:style>
  <w:style w:type="paragraph" w:customStyle="1" w:styleId="10">
    <w:name w:val="Обычный1"/>
    <w:rsid w:val="00303A7B"/>
    <w:pPr>
      <w:suppressAutoHyphens/>
      <w:autoSpaceDN w:val="0"/>
      <w:spacing w:line="100" w:lineRule="atLeast"/>
      <w:textAlignment w:val="baseline"/>
    </w:pPr>
    <w:rPr>
      <w:sz w:val="24"/>
      <w:szCs w:val="24"/>
      <w:lang w:eastAsia="ar-SA"/>
    </w:rPr>
  </w:style>
  <w:style w:type="character" w:customStyle="1" w:styleId="a8">
    <w:name w:val="Основной текст_"/>
    <w:link w:val="11"/>
    <w:locked/>
    <w:rsid w:val="00B32311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8"/>
    <w:rsid w:val="00B32311"/>
    <w:pPr>
      <w:widowControl w:val="0"/>
      <w:shd w:val="clear" w:color="auto" w:fill="FFFFFF"/>
      <w:spacing w:line="324" w:lineRule="exact"/>
      <w:ind w:firstLine="720"/>
      <w:jc w:val="both"/>
    </w:pPr>
    <w:rPr>
      <w:sz w:val="29"/>
      <w:szCs w:val="29"/>
    </w:rPr>
  </w:style>
  <w:style w:type="paragraph" w:styleId="a9">
    <w:name w:val="Balloon Text"/>
    <w:basedOn w:val="a"/>
    <w:link w:val="aa"/>
    <w:rsid w:val="00C873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87310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17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2D1B64"/>
    <w:rPr>
      <w:sz w:val="16"/>
      <w:szCs w:val="16"/>
    </w:rPr>
  </w:style>
  <w:style w:type="paragraph" w:styleId="ad">
    <w:name w:val="annotation text"/>
    <w:basedOn w:val="a"/>
    <w:link w:val="ae"/>
    <w:rsid w:val="002D1B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D1B64"/>
  </w:style>
  <w:style w:type="paragraph" w:styleId="af">
    <w:name w:val="annotation subject"/>
    <w:basedOn w:val="ad"/>
    <w:next w:val="ad"/>
    <w:link w:val="af0"/>
    <w:rsid w:val="002D1B64"/>
    <w:rPr>
      <w:b/>
      <w:bCs/>
    </w:rPr>
  </w:style>
  <w:style w:type="character" w:customStyle="1" w:styleId="af0">
    <w:name w:val="Тема примечания Знак"/>
    <w:basedOn w:val="ae"/>
    <w:link w:val="af"/>
    <w:rsid w:val="002D1B64"/>
    <w:rPr>
      <w:b/>
      <w:bCs/>
    </w:rPr>
  </w:style>
  <w:style w:type="paragraph" w:styleId="af1">
    <w:name w:val="List Paragraph"/>
    <w:basedOn w:val="a"/>
    <w:uiPriority w:val="34"/>
    <w:qFormat/>
    <w:rsid w:val="001D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CF4"/>
    <w:pPr>
      <w:tabs>
        <w:tab w:val="center" w:pos="4677"/>
        <w:tab w:val="right" w:pos="9355"/>
      </w:tabs>
    </w:pPr>
  </w:style>
  <w:style w:type="character" w:styleId="a5">
    <w:name w:val="page number"/>
    <w:rsid w:val="00826CF4"/>
    <w:rPr>
      <w:rFonts w:cs="Times New Roman"/>
    </w:rPr>
  </w:style>
  <w:style w:type="character" w:customStyle="1" w:styleId="a4">
    <w:name w:val="Верхний колонтитул Знак"/>
    <w:link w:val="a3"/>
    <w:uiPriority w:val="99"/>
    <w:locked/>
    <w:rsid w:val="00826CF4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826CF4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738F3"/>
    <w:rPr>
      <w:b/>
      <w:bCs/>
      <w:sz w:val="31"/>
      <w:szCs w:val="31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E738F3"/>
    <w:pPr>
      <w:widowControl w:val="0"/>
      <w:shd w:val="clear" w:color="auto" w:fill="FFFFFF"/>
      <w:spacing w:after="3060" w:line="240" w:lineRule="atLeast"/>
    </w:pPr>
    <w:rPr>
      <w:b/>
      <w:bCs/>
      <w:sz w:val="31"/>
      <w:szCs w:val="31"/>
      <w:shd w:val="clear" w:color="auto" w:fill="FFFFFF"/>
    </w:rPr>
  </w:style>
  <w:style w:type="paragraph" w:styleId="a6">
    <w:name w:val="footer"/>
    <w:basedOn w:val="a"/>
    <w:link w:val="a7"/>
    <w:uiPriority w:val="99"/>
    <w:rsid w:val="00325C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25CB3"/>
    <w:rPr>
      <w:sz w:val="24"/>
      <w:szCs w:val="24"/>
    </w:rPr>
  </w:style>
  <w:style w:type="paragraph" w:customStyle="1" w:styleId="10">
    <w:name w:val="Обычный1"/>
    <w:rsid w:val="00303A7B"/>
    <w:pPr>
      <w:suppressAutoHyphens/>
      <w:autoSpaceDN w:val="0"/>
      <w:spacing w:line="100" w:lineRule="atLeast"/>
      <w:textAlignment w:val="baseline"/>
    </w:pPr>
    <w:rPr>
      <w:sz w:val="24"/>
      <w:szCs w:val="24"/>
      <w:lang w:eastAsia="ar-SA"/>
    </w:rPr>
  </w:style>
  <w:style w:type="character" w:customStyle="1" w:styleId="a8">
    <w:name w:val="Основной текст_"/>
    <w:link w:val="11"/>
    <w:locked/>
    <w:rsid w:val="00B32311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8"/>
    <w:rsid w:val="00B32311"/>
    <w:pPr>
      <w:widowControl w:val="0"/>
      <w:shd w:val="clear" w:color="auto" w:fill="FFFFFF"/>
      <w:spacing w:line="324" w:lineRule="exact"/>
      <w:ind w:firstLine="720"/>
      <w:jc w:val="both"/>
    </w:pPr>
    <w:rPr>
      <w:sz w:val="29"/>
      <w:szCs w:val="29"/>
    </w:rPr>
  </w:style>
  <w:style w:type="paragraph" w:styleId="a9">
    <w:name w:val="Balloon Text"/>
    <w:basedOn w:val="a"/>
    <w:link w:val="aa"/>
    <w:rsid w:val="00C873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87310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17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2D1B64"/>
    <w:rPr>
      <w:sz w:val="16"/>
      <w:szCs w:val="16"/>
    </w:rPr>
  </w:style>
  <w:style w:type="paragraph" w:styleId="ad">
    <w:name w:val="annotation text"/>
    <w:basedOn w:val="a"/>
    <w:link w:val="ae"/>
    <w:rsid w:val="002D1B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D1B64"/>
  </w:style>
  <w:style w:type="paragraph" w:styleId="af">
    <w:name w:val="annotation subject"/>
    <w:basedOn w:val="ad"/>
    <w:next w:val="ad"/>
    <w:link w:val="af0"/>
    <w:rsid w:val="002D1B64"/>
    <w:rPr>
      <w:b/>
      <w:bCs/>
    </w:rPr>
  </w:style>
  <w:style w:type="character" w:customStyle="1" w:styleId="af0">
    <w:name w:val="Тема примечания Знак"/>
    <w:basedOn w:val="ae"/>
    <w:link w:val="af"/>
    <w:rsid w:val="002D1B64"/>
    <w:rPr>
      <w:b/>
      <w:bCs/>
    </w:rPr>
  </w:style>
  <w:style w:type="paragraph" w:styleId="af1">
    <w:name w:val="List Paragraph"/>
    <w:basedOn w:val="a"/>
    <w:uiPriority w:val="34"/>
    <w:qFormat/>
    <w:rsid w:val="001D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3" b="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903" b="0" i="0" baseline="0">
                <a:latin typeface="Arial" panose="020B0604020202020204" pitchFamily="34" charset="0"/>
                <a:cs typeface="Arial" panose="020B0604020202020204" pitchFamily="34" charset="0"/>
              </a:rPr>
              <a:t>Динамика кредиторской задолженности предприятий</a:t>
            </a:r>
          </a:p>
        </c:rich>
      </c:tx>
      <c:layout>
        <c:manualLayout>
          <c:xMode val="edge"/>
          <c:yMode val="edge"/>
          <c:x val="0.14366666368970538"/>
          <c:y val="4.0711238982411399E-2"/>
        </c:manualLayout>
      </c:layout>
      <c:overlay val="0"/>
      <c:spPr>
        <a:noFill/>
        <a:ln w="191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81950090715505"/>
          <c:y val="0.15659407696653721"/>
          <c:w val="0.66166565371440034"/>
          <c:h val="0.407862573036688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сумма кредиторской задолженности, в том числе: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0"/>
                  <c:y val="2.404210783725649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344936590251733E-4"/>
                  <c:y val="4.239535006859124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54829720359028E-4"/>
                  <c:y val="7.642297907140569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333336745406299E-3"/>
                  <c:y val="1.3985331186224045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666673490813396E-3"/>
                  <c:y val="1.3985331186224024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01.01.2017</c:v>
                </c:pt>
                <c:pt idx="1">
                  <c:v>на 01.04.2017</c:v>
                </c:pt>
                <c:pt idx="2">
                  <c:v>на 01.07.2017</c:v>
                </c:pt>
                <c:pt idx="3">
                  <c:v>на 01.10.2017</c:v>
                </c:pt>
                <c:pt idx="4">
                  <c:v>на 01.01.2018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347</c:v>
                </c:pt>
                <c:pt idx="1">
                  <c:v>380</c:v>
                </c:pt>
                <c:pt idx="2">
                  <c:v>432</c:v>
                </c:pt>
                <c:pt idx="3">
                  <c:v>605</c:v>
                </c:pt>
                <c:pt idx="4">
                  <c:v>518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сфере ЖКХ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4.310252020156508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735825012539261E-3"/>
                  <c:y val="8.31945436002692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172544850943504E-2"/>
                  <c:y val="7.52725936085697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563697167261439E-4"/>
                  <c:y val="6.1134036374751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9162602745644446E-3"/>
                  <c:y val="1.78530428391205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1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2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01.01.2017</c:v>
                </c:pt>
                <c:pt idx="1">
                  <c:v>на 01.04.2017</c:v>
                </c:pt>
                <c:pt idx="2">
                  <c:v>на 01.07.2017</c:v>
                </c:pt>
                <c:pt idx="3">
                  <c:v>на 01.10.2017</c:v>
                </c:pt>
                <c:pt idx="4">
                  <c:v>на 01.01.2018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202</c:v>
                </c:pt>
                <c:pt idx="1">
                  <c:v>206</c:v>
                </c:pt>
                <c:pt idx="2">
                  <c:v>216</c:v>
                </c:pt>
                <c:pt idx="3">
                  <c:v>266</c:v>
                </c:pt>
                <c:pt idx="4">
                  <c:v>227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сфере транспорта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3.4896052731062936E-2"/>
                  <c:y val="-1.362444052790916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680916042902046E-2"/>
                  <c:y val="5.6396663997614459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452753205232062E-2"/>
                  <c:y val="3.8432898503357616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804178412882789E-3"/>
                  <c:y val="3.364353544243812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765010370237551E-2"/>
                  <c:y val="1.3985370464711547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01.01.2017</c:v>
                </c:pt>
                <c:pt idx="1">
                  <c:v>на 01.04.2017</c:v>
                </c:pt>
                <c:pt idx="2">
                  <c:v>на 01.07.2017</c:v>
                </c:pt>
                <c:pt idx="3">
                  <c:v>на 01.10.2017</c:v>
                </c:pt>
                <c:pt idx="4">
                  <c:v>на 01.01.2018</c:v>
                </c:pt>
              </c:strCache>
            </c:strRef>
          </c:cat>
          <c:val>
            <c:numRef>
              <c:f>Лист1!$D$2:$D$6</c:f>
              <c:numCache>
                <c:formatCode>#,##0</c:formatCode>
                <c:ptCount val="5"/>
                <c:pt idx="0">
                  <c:v>70</c:v>
                </c:pt>
                <c:pt idx="1">
                  <c:v>86</c:v>
                </c:pt>
                <c:pt idx="2">
                  <c:v>102</c:v>
                </c:pt>
                <c:pt idx="3">
                  <c:v>121</c:v>
                </c:pt>
                <c:pt idx="4">
                  <c:v>150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сфере дорожного хозяйства</c:v>
                </c:pt>
              </c:strCache>
            </c:strRef>
          </c:tx>
          <c:spPr>
            <a:solidFill>
              <a:srgbClr val="FFC000">
                <a:lumMod val="60000"/>
                <a:lumOff val="40000"/>
              </a:srgb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h="50800"/>
              <a:bevelB h="50800"/>
            </a:sp3d>
          </c:spPr>
          <c:invertIfNegative val="0"/>
          <c:dLbls>
            <c:dLbl>
              <c:idx val="0"/>
              <c:layout>
                <c:manualLayout>
                  <c:x val="-2.2693826080381927E-2"/>
                  <c:y val="3.8483439606030257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600"/>
                      <a:t>75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965499875787131E-2"/>
                  <c:y val="8.66370977077679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700"/>
                      <a:t>88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240021116187637E-2"/>
                  <c:y val="7.2437433724970727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600"/>
                      <a:t>114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708877439702753E-3"/>
                  <c:y val="1.0002327298002207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800"/>
                      <a:t>218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71689457027756E-2"/>
                  <c:y val="-4.6209008157333973E-4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600"/>
                      <a:t>141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01.01.2017</c:v>
                </c:pt>
                <c:pt idx="1">
                  <c:v>на 01.04.2017</c:v>
                </c:pt>
                <c:pt idx="2">
                  <c:v>на 01.07.2017</c:v>
                </c:pt>
                <c:pt idx="3">
                  <c:v>на 01.10.2017</c:v>
                </c:pt>
                <c:pt idx="4">
                  <c:v>на 01.01.2018</c:v>
                </c:pt>
              </c:strCache>
            </c:strRef>
          </c:cat>
          <c:val>
            <c:numRef>
              <c:f>Лист1!$E$2:$E$6</c:f>
              <c:numCache>
                <c:formatCode>#,##0</c:formatCode>
                <c:ptCount val="5"/>
                <c:pt idx="0">
                  <c:v>75</c:v>
                </c:pt>
                <c:pt idx="1">
                  <c:v>88</c:v>
                </c:pt>
                <c:pt idx="2">
                  <c:v>114</c:v>
                </c:pt>
                <c:pt idx="3">
                  <c:v>218</c:v>
                </c:pt>
                <c:pt idx="4">
                  <c:v>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227200"/>
        <c:axId val="62228736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Доля просроченных обязательств в общей сумме кредиторской задолженности,%</c:v>
                </c:pt>
              </c:strCache>
            </c:strRef>
          </c:tx>
          <c:dLbls>
            <c:dLbl>
              <c:idx val="0"/>
              <c:layout>
                <c:manualLayout>
                  <c:x val="-3.6458566729791725E-2"/>
                  <c:y val="-2.2740603685800217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332011416386296E-2"/>
                  <c:y val="-2.9237290411729119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14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306472076664271E-2"/>
                  <c:y val="-1.9491526941152755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16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01.01.2017</c:v>
                </c:pt>
                <c:pt idx="1">
                  <c:v>на 01.04.2017</c:v>
                </c:pt>
                <c:pt idx="2">
                  <c:v>на 01.07.2017</c:v>
                </c:pt>
                <c:pt idx="3">
                  <c:v>на 01.10.2017</c:v>
                </c:pt>
                <c:pt idx="4">
                  <c:v>на 01.01.2018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</c:v>
                </c:pt>
                <c:pt idx="1">
                  <c:v>13.7</c:v>
                </c:pt>
                <c:pt idx="2">
                  <c:v>16</c:v>
                </c:pt>
                <c:pt idx="3">
                  <c:v>15</c:v>
                </c:pt>
                <c:pt idx="4">
                  <c:v>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230912"/>
        <c:axId val="62232448"/>
      </c:lineChart>
      <c:catAx>
        <c:axId val="62227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2228736"/>
        <c:crosses val="autoZero"/>
        <c:auto val="1"/>
        <c:lblAlgn val="ctr"/>
        <c:lblOffset val="100"/>
        <c:noMultiLvlLbl val="0"/>
      </c:catAx>
      <c:valAx>
        <c:axId val="62228736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57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тыс.рублей</a:t>
                </a:r>
              </a:p>
            </c:rich>
          </c:tx>
          <c:layout>
            <c:manualLayout>
              <c:xMode val="edge"/>
              <c:yMode val="edge"/>
              <c:x val="3.7263343125482914E-5"/>
              <c:y val="0.25307722972907976"/>
            </c:manualLayout>
          </c:layout>
          <c:overlay val="0"/>
          <c:spPr>
            <a:noFill/>
            <a:ln w="19104">
              <a:noFill/>
            </a:ln>
          </c:spPr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580" baseline="0">
                <a:latin typeface="Arial" pitchFamily="34" charset="0"/>
              </a:defRPr>
            </a:pPr>
            <a:endParaRPr lang="ru-RU"/>
          </a:p>
        </c:txPr>
        <c:crossAx val="62227200"/>
        <c:crosses val="autoZero"/>
        <c:crossBetween val="between"/>
      </c:valAx>
      <c:catAx>
        <c:axId val="62230912"/>
        <c:scaling>
          <c:orientation val="minMax"/>
        </c:scaling>
        <c:delete val="1"/>
        <c:axPos val="b"/>
        <c:majorTickMark val="out"/>
        <c:minorTickMark val="none"/>
        <c:tickLblPos val="nextTo"/>
        <c:crossAx val="62232448"/>
        <c:crosses val="autoZero"/>
        <c:auto val="1"/>
        <c:lblAlgn val="ctr"/>
        <c:lblOffset val="100"/>
        <c:noMultiLvlLbl val="0"/>
      </c:catAx>
      <c:valAx>
        <c:axId val="62232448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580" b="0" i="0" baseline="0">
                    <a:latin typeface="Arial" pitchFamily="34" charset="0"/>
                  </a:defRPr>
                </a:pPr>
                <a:r>
                  <a:rPr lang="ru-RU" sz="580" b="0" i="0" baseline="0">
                    <a:latin typeface="Arial" pitchFamily="34" charset="0"/>
                  </a:rPr>
                  <a:t>проценты</a:t>
                </a:r>
              </a:p>
            </c:rich>
          </c:tx>
          <c:overlay val="0"/>
          <c:spPr>
            <a:noFill/>
            <a:ln w="19104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580" baseline="0">
                <a:latin typeface="Arial" pitchFamily="34" charset="0"/>
              </a:defRPr>
            </a:pPr>
            <a:endParaRPr lang="ru-RU"/>
          </a:p>
        </c:txPr>
        <c:crossAx val="62230912"/>
        <c:crosses val="max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"/>
          <c:y val="0.70130965956760072"/>
          <c:w val="0.75201014178856029"/>
          <c:h val="0.23079864224619329"/>
        </c:manualLayout>
      </c:layout>
      <c:overlay val="0"/>
      <c:txPr>
        <a:bodyPr/>
        <a:lstStyle/>
        <a:p>
          <a:pPr>
            <a:defRPr sz="58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160" baseline="0">
                <a:latin typeface="Arial" pitchFamily="34" charset="0"/>
              </a:defRPr>
            </a:pPr>
            <a:r>
              <a:rPr lang="ru-RU" sz="1071" b="0" baseline="0">
                <a:latin typeface="Arial" pitchFamily="34" charset="0"/>
                <a:cs typeface="Times New Roman" pitchFamily="18" charset="0"/>
              </a:rPr>
              <a:t>Структура кредиторской задолженности предприятий,%</a:t>
            </a:r>
          </a:p>
        </c:rich>
      </c:tx>
      <c:layout>
        <c:manualLayout>
          <c:xMode val="edge"/>
          <c:yMode val="edge"/>
          <c:x val="0.10521976730520624"/>
          <c:y val="4.9200492004920051E-3"/>
        </c:manualLayout>
      </c:layout>
      <c:overlay val="0"/>
      <c:spPr>
        <a:noFill/>
        <a:ln w="2266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16666666666739"/>
          <c:y val="0.12956349206349399"/>
          <c:w val="0.51670713035870564"/>
          <c:h val="0.675787089113861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кредиторы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652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01.01.2017</c:v>
                </c:pt>
                <c:pt idx="1">
                  <c:v>на 01.04.2017</c:v>
                </c:pt>
                <c:pt idx="2">
                  <c:v>на 01.07.2017</c:v>
                </c:pt>
                <c:pt idx="3">
                  <c:v>на 01.10.2017</c:v>
                </c:pt>
                <c:pt idx="4">
                  <c:v>на 01.01.2018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14</c:v>
                </c:pt>
                <c:pt idx="2">
                  <c:v>16</c:v>
                </c:pt>
                <c:pt idx="3">
                  <c:v>14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авансы полученные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2"/>
              <c:layout>
                <c:manualLayout>
                  <c:x val="1.4827367083245075E-2"/>
                  <c:y val="4.7337278106508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820460704607047E-2"/>
                  <c:y val="8.672569184392980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067519994661984E-3"/>
                  <c:y val="4.9888242480427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6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01.01.2017</c:v>
                </c:pt>
                <c:pt idx="1">
                  <c:v>на 01.04.2017</c:v>
                </c:pt>
                <c:pt idx="2">
                  <c:v>на 01.07.2017</c:v>
                </c:pt>
                <c:pt idx="3">
                  <c:v>на 01.10.2017</c:v>
                </c:pt>
                <c:pt idx="4">
                  <c:v>на 01.01.2018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государственные внебюджетные фонды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4"/>
              <c:layout>
                <c:manualLayout>
                  <c:x val="1.4536652480325834E-2"/>
                  <c:y val="4.9888242480427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652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01.01.2017</c:v>
                </c:pt>
                <c:pt idx="1">
                  <c:v>на 01.04.2017</c:v>
                </c:pt>
                <c:pt idx="2">
                  <c:v>на 01.07.2017</c:v>
                </c:pt>
                <c:pt idx="3">
                  <c:v>на 01.10.2017</c:v>
                </c:pt>
                <c:pt idx="4">
                  <c:v>на 01.01.2018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налоги и сборы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652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01.01.2017</c:v>
                </c:pt>
                <c:pt idx="1">
                  <c:v>на 01.04.2017</c:v>
                </c:pt>
                <c:pt idx="2">
                  <c:v>на 01.07.2017</c:v>
                </c:pt>
                <c:pt idx="3">
                  <c:v>на 01.10.2017</c:v>
                </c:pt>
                <c:pt idx="4">
                  <c:v>на 01.01.2018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17</c:v>
                </c:pt>
                <c:pt idx="1">
                  <c:v>19</c:v>
                </c:pt>
                <c:pt idx="2">
                  <c:v>16</c:v>
                </c:pt>
                <c:pt idx="3">
                  <c:v>15</c:v>
                </c:pt>
                <c:pt idx="4">
                  <c:v>13.6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оплата труда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652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01.01.2017</c:v>
                </c:pt>
                <c:pt idx="1">
                  <c:v>на 01.04.2017</c:v>
                </c:pt>
                <c:pt idx="2">
                  <c:v>на 01.07.2017</c:v>
                </c:pt>
                <c:pt idx="3">
                  <c:v>на 01.10.2017</c:v>
                </c:pt>
                <c:pt idx="4">
                  <c:v>на 01.01.2018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поставщики и подрядчики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652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 01.01.2017</c:v>
                </c:pt>
                <c:pt idx="1">
                  <c:v>на 01.04.2017</c:v>
                </c:pt>
                <c:pt idx="2">
                  <c:v>на 01.07.2017</c:v>
                </c:pt>
                <c:pt idx="3">
                  <c:v>на 01.10.2017</c:v>
                </c:pt>
                <c:pt idx="4">
                  <c:v>на 01.01.2018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51</c:v>
                </c:pt>
                <c:pt idx="1">
                  <c:v>45</c:v>
                </c:pt>
                <c:pt idx="2">
                  <c:v>51</c:v>
                </c:pt>
                <c:pt idx="3">
                  <c:v>59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62255872"/>
        <c:axId val="62257408"/>
      </c:barChart>
      <c:catAx>
        <c:axId val="62255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714"/>
            </a:pPr>
            <a:endParaRPr lang="ru-RU"/>
          </a:p>
        </c:txPr>
        <c:crossAx val="62257408"/>
        <c:crosses val="autoZero"/>
        <c:auto val="1"/>
        <c:lblAlgn val="ctr"/>
        <c:lblOffset val="100"/>
        <c:noMultiLvlLbl val="0"/>
      </c:catAx>
      <c:valAx>
        <c:axId val="622574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2255872"/>
        <c:crosses val="autoZero"/>
        <c:crossBetween val="between"/>
      </c:valAx>
      <c:spPr>
        <a:gradFill flip="none" rotWithShape="1">
          <a:gsLst>
            <a:gs pos="0">
              <a:srgbClr val="FFC000"/>
            </a:gs>
            <a:gs pos="64999">
              <a:srgbClr val="F0EBD5"/>
            </a:gs>
            <a:gs pos="100000">
              <a:srgbClr val="D1C39F"/>
            </a:gs>
          </a:gsLst>
          <a:path path="circle">
            <a:fillToRect l="100000" t="100000"/>
          </a:path>
          <a:tileRect r="-100000" b="-100000"/>
        </a:gradFill>
        <a:ln>
          <a:noFill/>
        </a:ln>
      </c:spPr>
    </c:plotArea>
    <c:legend>
      <c:legendPos val="r"/>
      <c:layout>
        <c:manualLayout>
          <c:xMode val="edge"/>
          <c:yMode val="edge"/>
          <c:x val="0.66948485916872336"/>
          <c:y val="0.20810762123369264"/>
          <c:w val="0.31662612136169543"/>
          <c:h val="0.65380441835914427"/>
        </c:manualLayout>
      </c:layout>
      <c:overlay val="0"/>
      <c:txPr>
        <a:bodyPr/>
        <a:lstStyle/>
        <a:p>
          <a:pPr>
            <a:defRPr sz="652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3" b="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903" b="0" i="0" baseline="0">
                <a:latin typeface="Arial" panose="020B0604020202020204" pitchFamily="34" charset="0"/>
                <a:cs typeface="Arial" panose="020B0604020202020204" pitchFamily="34" charset="0"/>
              </a:rPr>
              <a:t>Дебиторская задолженность предприятий</a:t>
            </a:r>
          </a:p>
        </c:rich>
      </c:tx>
      <c:layout>
        <c:manualLayout>
          <c:xMode val="edge"/>
          <c:yMode val="edge"/>
          <c:x val="0.14366666368970538"/>
          <c:y val="4.0711238982411399E-2"/>
        </c:manualLayout>
      </c:layout>
      <c:overlay val="0"/>
      <c:spPr>
        <a:noFill/>
        <a:ln w="191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81950090715505"/>
          <c:y val="0.15659407696653721"/>
          <c:w val="0.66166565371440034"/>
          <c:h val="0.407862573036688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сумма кредиторской задолженности, в том числе: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0"/>
                  <c:y val="2.404210783725649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344936590251733E-4"/>
                  <c:y val="4.239535006859124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54829720359028E-4"/>
                  <c:y val="7.642297907140569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333336745406299E-3"/>
                  <c:y val="1.3985331186224045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666673490813396E-3"/>
                  <c:y val="1.3985331186224024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 01.01.2018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437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сфере ЖКХ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4.310252020156508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735825012539261E-3"/>
                  <c:y val="8.31945436002692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172544850943504E-2"/>
                  <c:y val="7.52725936085697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563697167261439E-4"/>
                  <c:y val="6.1134036374751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9162602745644446E-3"/>
                  <c:y val="1.78530428391205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1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2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 01.01.2018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317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сфере транспорта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3.4896052731062936E-2"/>
                  <c:y val="-1.362444052790916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680916042902046E-2"/>
                  <c:y val="5.6396663997614459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452753205232062E-2"/>
                  <c:y val="3.8432898503357616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804178412882789E-3"/>
                  <c:y val="3.3643535442438124E-3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765010370237551E-2"/>
                  <c:y val="1.3985370464711547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2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 01.01.2018</c:v>
                </c:pt>
              </c:strCache>
            </c:strRef>
          </c:cat>
          <c:val>
            <c:numRef>
              <c:f>Лист1!$D$2</c:f>
              <c:numCache>
                <c:formatCode>#,##0</c:formatCode>
                <c:ptCount val="1"/>
                <c:pt idx="0">
                  <c:v>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сфере дорожного хозяйства</c:v>
                </c:pt>
              </c:strCache>
            </c:strRef>
          </c:tx>
          <c:spPr>
            <a:solidFill>
              <a:srgbClr val="FFC000">
                <a:lumMod val="60000"/>
                <a:lumOff val="40000"/>
              </a:srgb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 h="50800"/>
              <a:bevelB h="50800"/>
            </a:sp3d>
          </c:spPr>
          <c:invertIfNegative val="0"/>
          <c:dLbls>
            <c:dLbl>
              <c:idx val="0"/>
              <c:layout>
                <c:manualLayout>
                  <c:x val="-2.2693826080381927E-2"/>
                  <c:y val="3.8483439606030257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600"/>
                      <a:t>75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965499875787131E-2"/>
                  <c:y val="8.66370977077679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700"/>
                      <a:t>88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240021116187637E-2"/>
                  <c:y val="7.2437433724970727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600"/>
                      <a:t>114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708877439702753E-3"/>
                  <c:y val="1.0002327298002207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800"/>
                      <a:t>218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71689457027756E-2"/>
                  <c:y val="-4.6209008157333973E-4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 sz="600"/>
                      <a:t>141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 01.01.2018</c:v>
                </c:pt>
              </c:strCache>
            </c:strRef>
          </c:cat>
          <c:val>
            <c:numRef>
              <c:f>Лист1!$E$2</c:f>
              <c:numCache>
                <c:formatCode>#,##0</c:formatCode>
                <c:ptCount val="1"/>
                <c:pt idx="0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299584"/>
        <c:axId val="63301120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3.6458566729791725E-2"/>
                  <c:y val="-2.2740603685800217E-2"/>
                </c:manualLayout>
              </c:layout>
              <c:spPr>
                <a:noFill/>
                <a:ln w="19104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332011416386296E-2"/>
                  <c:y val="-2.9237290411729119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14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306472076664271E-2"/>
                  <c:y val="-1.9491526941152755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16</a:t>
                    </a:r>
                  </a:p>
                </c:rich>
              </c:tx>
              <c:spPr>
                <a:noFill/>
                <a:ln w="19104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910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 01.01.2018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303040"/>
        <c:axId val="63304832"/>
      </c:lineChart>
      <c:catAx>
        <c:axId val="63299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301120"/>
        <c:crosses val="autoZero"/>
        <c:auto val="1"/>
        <c:lblAlgn val="ctr"/>
        <c:lblOffset val="100"/>
        <c:noMultiLvlLbl val="0"/>
      </c:catAx>
      <c:valAx>
        <c:axId val="63301120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57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тыс.рублей</a:t>
                </a:r>
              </a:p>
            </c:rich>
          </c:tx>
          <c:layout>
            <c:manualLayout>
              <c:xMode val="edge"/>
              <c:yMode val="edge"/>
              <c:x val="3.7263343125482914E-5"/>
              <c:y val="0.25307722972907976"/>
            </c:manualLayout>
          </c:layout>
          <c:overlay val="0"/>
          <c:spPr>
            <a:noFill/>
            <a:ln w="19104">
              <a:noFill/>
            </a:ln>
          </c:spPr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580" baseline="0">
                <a:latin typeface="Arial" pitchFamily="34" charset="0"/>
              </a:defRPr>
            </a:pPr>
            <a:endParaRPr lang="ru-RU"/>
          </a:p>
        </c:txPr>
        <c:crossAx val="63299584"/>
        <c:crosses val="autoZero"/>
        <c:crossBetween val="between"/>
      </c:valAx>
      <c:catAx>
        <c:axId val="63303040"/>
        <c:scaling>
          <c:orientation val="minMax"/>
        </c:scaling>
        <c:delete val="1"/>
        <c:axPos val="b"/>
        <c:majorTickMark val="out"/>
        <c:minorTickMark val="none"/>
        <c:tickLblPos val="nextTo"/>
        <c:crossAx val="63304832"/>
        <c:crosses val="autoZero"/>
        <c:auto val="1"/>
        <c:lblAlgn val="ctr"/>
        <c:lblOffset val="100"/>
        <c:noMultiLvlLbl val="0"/>
      </c:catAx>
      <c:valAx>
        <c:axId val="6330483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580" b="0" i="0" baseline="0">
                    <a:latin typeface="Arial" pitchFamily="34" charset="0"/>
                  </a:defRPr>
                </a:pPr>
                <a:r>
                  <a:rPr lang="ru-RU" sz="580" b="0" i="0" baseline="0">
                    <a:latin typeface="Arial" pitchFamily="34" charset="0"/>
                  </a:rPr>
                  <a:t>проценты</a:t>
                </a:r>
              </a:p>
            </c:rich>
          </c:tx>
          <c:overlay val="0"/>
          <c:spPr>
            <a:noFill/>
            <a:ln w="19104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580" baseline="0">
                <a:latin typeface="Arial" pitchFamily="34" charset="0"/>
              </a:defRPr>
            </a:pPr>
            <a:endParaRPr lang="ru-RU"/>
          </a:p>
        </c:txPr>
        <c:crossAx val="63303040"/>
        <c:crosses val="max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"/>
          <c:y val="0.70130965956760072"/>
          <c:w val="0.75201014178856029"/>
          <c:h val="0.23079864224619329"/>
        </c:manualLayout>
      </c:layout>
      <c:overlay val="0"/>
      <c:txPr>
        <a:bodyPr/>
        <a:lstStyle/>
        <a:p>
          <a:pPr>
            <a:defRPr sz="58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160" baseline="0">
                <a:latin typeface="Arial" pitchFamily="34" charset="0"/>
              </a:defRPr>
            </a:pPr>
            <a:r>
              <a:rPr lang="ru-RU" sz="1071" b="0" baseline="0">
                <a:latin typeface="Arial" pitchFamily="34" charset="0"/>
                <a:cs typeface="Times New Roman" pitchFamily="18" charset="0"/>
              </a:rPr>
              <a:t>Структура дебиторской задолженности предприятий,%</a:t>
            </a:r>
          </a:p>
        </c:rich>
      </c:tx>
      <c:layout>
        <c:manualLayout>
          <c:xMode val="edge"/>
          <c:yMode val="edge"/>
          <c:x val="0.10521976730520624"/>
          <c:y val="4.9200492004920051E-3"/>
        </c:manualLayout>
      </c:layout>
      <c:overlay val="0"/>
      <c:spPr>
        <a:noFill/>
        <a:ln w="2266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965701004306307"/>
          <c:y val="0.12956349206349399"/>
          <c:w val="0.31961073058037415"/>
          <c:h val="0.675787089113861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авансы выданные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2.8494433265562009E-2"/>
                  <c:y val="-1.3028513980005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800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 01.01.2018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задолженность покупателей и заказчиков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2"/>
              <c:layout>
                <c:manualLayout>
                  <c:x val="1.4827367083245075E-2"/>
                  <c:y val="4.7337278106508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820460704607047E-2"/>
                  <c:y val="8.672569184392980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067519994661984E-3"/>
                  <c:y val="4.9888242480427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6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 01.01.2018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прочая дебиторская задолженность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dLbl>
              <c:idx val="0"/>
              <c:layout>
                <c:manualLayout>
                  <c:x val="-3.7394514748209643E-7"/>
                  <c:y val="1.3028513980005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536652480325834E-2"/>
                  <c:y val="4.9888242480427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652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 01.01.2018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переплата налогов и сборов в бюджет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0800"/>
              <a:bevelB w="50800"/>
            </a:sp3d>
          </c:spPr>
          <c:invertIfNegative val="0"/>
          <c:dLbls>
            <c:spPr>
              <a:noFill/>
              <a:ln w="22665">
                <a:noFill/>
              </a:ln>
            </c:spPr>
            <c:txPr>
              <a:bodyPr/>
              <a:lstStyle/>
              <a:p>
                <a:pPr>
                  <a:defRPr sz="800"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 01.01.2018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64227200"/>
        <c:axId val="64228736"/>
      </c:barChart>
      <c:catAx>
        <c:axId val="64227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714"/>
            </a:pPr>
            <a:endParaRPr lang="ru-RU"/>
          </a:p>
        </c:txPr>
        <c:crossAx val="64228736"/>
        <c:crosses val="autoZero"/>
        <c:auto val="1"/>
        <c:lblAlgn val="ctr"/>
        <c:lblOffset val="100"/>
        <c:noMultiLvlLbl val="0"/>
      </c:catAx>
      <c:valAx>
        <c:axId val="64228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4227200"/>
        <c:crosses val="autoZero"/>
        <c:crossBetween val="between"/>
      </c:valAx>
      <c:spPr>
        <a:gradFill flip="none" rotWithShape="1">
          <a:gsLst>
            <a:gs pos="0">
              <a:srgbClr val="FFC000"/>
            </a:gs>
            <a:gs pos="64999">
              <a:srgbClr val="F0EBD5"/>
            </a:gs>
            <a:gs pos="100000">
              <a:srgbClr val="D1C39F"/>
            </a:gs>
          </a:gsLst>
          <a:path path="circle">
            <a:fillToRect l="100000" t="100000"/>
          </a:path>
          <a:tileRect r="-100000" b="-100000"/>
        </a:gradFill>
        <a:ln>
          <a:noFill/>
        </a:ln>
      </c:spPr>
    </c:plotArea>
    <c:legend>
      <c:legendPos val="r"/>
      <c:layout>
        <c:manualLayout>
          <c:xMode val="edge"/>
          <c:yMode val="edge"/>
          <c:x val="0.54600815424788596"/>
          <c:y val="0.20810762123369264"/>
          <c:w val="0.44013635080226704"/>
          <c:h val="0.65380441835914427"/>
        </c:manualLayout>
      </c:layout>
      <c:overlay val="0"/>
      <c:txPr>
        <a:bodyPr/>
        <a:lstStyle/>
        <a:p>
          <a:pPr>
            <a:defRPr sz="652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A56B-CBFB-4FD7-B790-25BFD057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информация</vt:lpstr>
    </vt:vector>
  </TitlesOfParts>
  <Company>-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</dc:title>
  <dc:creator>tarasovara</dc:creator>
  <cp:lastModifiedBy>Наталья Г. Бурцева</cp:lastModifiedBy>
  <cp:revision>39</cp:revision>
  <cp:lastPrinted>2018-04-24T09:32:00Z</cp:lastPrinted>
  <dcterms:created xsi:type="dcterms:W3CDTF">2018-04-18T11:51:00Z</dcterms:created>
  <dcterms:modified xsi:type="dcterms:W3CDTF">2018-04-24T09:33:00Z</dcterms:modified>
</cp:coreProperties>
</file>